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33C498E" w14:textId="77777777" w:rsidR="00923A75" w:rsidRPr="00766B1D" w:rsidRDefault="00923A75" w:rsidP="00923A75">
      <w:pPr>
        <w:spacing w:after="0" w:line="300" w:lineRule="auto"/>
        <w:ind w:firstLine="567"/>
        <w:jc w:val="center"/>
        <w:rPr>
          <w:rFonts w:ascii="Times New Roman" w:eastAsia="MS Mincho" w:hAnsi="Times New Roman" w:cs="Times New Roman"/>
          <w:b/>
          <w:spacing w:val="6"/>
          <w:sz w:val="24"/>
          <w:szCs w:val="24"/>
          <w:lang w:eastAsia="ru-RU"/>
        </w:rPr>
      </w:pPr>
      <w:r w:rsidRPr="00766B1D">
        <w:rPr>
          <w:rFonts w:ascii="Times New Roman" w:eastAsia="MS Mincho" w:hAnsi="Times New Roman" w:cs="Times New Roman"/>
          <w:b/>
          <w:spacing w:val="6"/>
          <w:sz w:val="24"/>
          <w:szCs w:val="24"/>
          <w:lang w:eastAsia="ru-RU"/>
        </w:rPr>
        <w:t>ФГБОУ ВО «Кубанский государственный аграрный университет имени И.Т. Трубилина»</w:t>
      </w:r>
    </w:p>
    <w:p w14:paraId="2ADE9A97" w14:textId="77777777" w:rsidR="00923A75" w:rsidRPr="00766B1D" w:rsidRDefault="00923A75" w:rsidP="00923A75">
      <w:pPr>
        <w:spacing w:after="0" w:line="300" w:lineRule="auto"/>
        <w:ind w:firstLine="567"/>
        <w:jc w:val="center"/>
        <w:rPr>
          <w:rFonts w:ascii="Times New Roman" w:eastAsia="MS Mincho" w:hAnsi="Times New Roman" w:cs="Times New Roman"/>
          <w:b/>
          <w:spacing w:val="6"/>
          <w:sz w:val="24"/>
          <w:szCs w:val="24"/>
          <w:lang w:eastAsia="ru-RU"/>
        </w:rPr>
      </w:pPr>
      <w:r w:rsidRPr="00766B1D">
        <w:rPr>
          <w:rFonts w:ascii="Times New Roman" w:eastAsia="MS Mincho" w:hAnsi="Times New Roman" w:cs="Times New Roman"/>
          <w:b/>
          <w:spacing w:val="6"/>
          <w:sz w:val="24"/>
          <w:szCs w:val="24"/>
          <w:lang w:eastAsia="ru-RU"/>
        </w:rPr>
        <w:t>Юридический факультет (кафедра гражданского права)</w:t>
      </w:r>
    </w:p>
    <w:p w14:paraId="38DD49B4" w14:textId="77777777" w:rsidR="00923A75" w:rsidRPr="00766B1D" w:rsidRDefault="00923A75" w:rsidP="00923A75">
      <w:pPr>
        <w:spacing w:after="0" w:line="300" w:lineRule="auto"/>
        <w:ind w:firstLine="567"/>
        <w:jc w:val="center"/>
        <w:rPr>
          <w:rFonts w:ascii="Times New Roman" w:eastAsia="MS Mincho" w:hAnsi="Times New Roman" w:cs="Times New Roman"/>
          <w:b/>
          <w:spacing w:val="6"/>
          <w:sz w:val="24"/>
          <w:szCs w:val="24"/>
          <w:lang w:eastAsia="ru-RU"/>
        </w:rPr>
      </w:pPr>
      <w:r w:rsidRPr="00766B1D">
        <w:rPr>
          <w:rFonts w:ascii="Times New Roman" w:eastAsia="MS Mincho" w:hAnsi="Times New Roman" w:cs="Times New Roman"/>
          <w:b/>
          <w:spacing w:val="6"/>
          <w:sz w:val="24"/>
          <w:szCs w:val="24"/>
          <w:lang w:eastAsia="ru-RU"/>
        </w:rPr>
        <w:t>АНО «Научно-исследовательский институт актуальных проблем современного права»</w:t>
      </w:r>
    </w:p>
    <w:p w14:paraId="1C6156BC" w14:textId="77777777" w:rsidR="00923A75" w:rsidRPr="00766B1D" w:rsidRDefault="00923A75" w:rsidP="00923A75">
      <w:pPr>
        <w:shd w:val="clear" w:color="auto" w:fill="FFFFFF"/>
        <w:spacing w:after="0" w:line="300" w:lineRule="auto"/>
        <w:ind w:left="567" w:firstLine="567"/>
        <w:jc w:val="center"/>
        <w:textAlignment w:val="baseline"/>
        <w:outlineLvl w:val="1"/>
        <w:rPr>
          <w:rFonts w:ascii="Times New Roman" w:eastAsia="Times New Roman" w:hAnsi="Times New Roman" w:cs="Times New Roman"/>
          <w:b/>
          <w:bCs/>
          <w:spacing w:val="6"/>
          <w:sz w:val="24"/>
          <w:szCs w:val="24"/>
          <w:lang w:eastAsia="ru-RU"/>
        </w:rPr>
      </w:pPr>
      <w:r w:rsidRPr="00766B1D">
        <w:rPr>
          <w:rFonts w:ascii="Times New Roman" w:eastAsia="Times New Roman" w:hAnsi="Times New Roman" w:cs="Times New Roman"/>
          <w:b/>
          <w:bCs/>
          <w:spacing w:val="6"/>
          <w:sz w:val="24"/>
          <w:szCs w:val="24"/>
          <w:lang w:eastAsia="ru-RU"/>
        </w:rPr>
        <w:t>Краснодарское региональное отделение Общероссийской общественной организации «Ассоциация юристов России»</w:t>
      </w:r>
    </w:p>
    <w:p w14:paraId="5D4923B1" w14:textId="77777777" w:rsidR="00923A75" w:rsidRPr="00766B1D" w:rsidRDefault="00923A75" w:rsidP="00923A75">
      <w:pPr>
        <w:shd w:val="clear" w:color="auto" w:fill="FFFFFF"/>
        <w:spacing w:after="0" w:line="300" w:lineRule="auto"/>
        <w:ind w:left="567" w:firstLine="567"/>
        <w:jc w:val="center"/>
        <w:textAlignment w:val="baseline"/>
        <w:outlineLvl w:val="1"/>
        <w:rPr>
          <w:rFonts w:ascii="Times New Roman" w:eastAsia="Times New Roman" w:hAnsi="Times New Roman" w:cs="Times New Roman"/>
          <w:bCs/>
          <w:spacing w:val="6"/>
          <w:sz w:val="24"/>
          <w:szCs w:val="24"/>
          <w:lang w:eastAsia="ru-RU"/>
        </w:rPr>
      </w:pPr>
      <w:r w:rsidRPr="00766B1D">
        <w:rPr>
          <w:rFonts w:ascii="Times New Roman" w:eastAsia="Times New Roman" w:hAnsi="Times New Roman" w:cs="Times New Roman"/>
          <w:b/>
          <w:bCs/>
          <w:spacing w:val="6"/>
          <w:sz w:val="24"/>
          <w:szCs w:val="24"/>
          <w:lang w:eastAsia="ru-RU"/>
        </w:rPr>
        <w:t>Международный университет Кыргызской Республики</w:t>
      </w:r>
      <w:r w:rsidRPr="00766B1D">
        <w:rPr>
          <w:rFonts w:ascii="Times New Roman" w:eastAsia="Times New Roman" w:hAnsi="Times New Roman" w:cs="Times New Roman"/>
          <w:bCs/>
          <w:spacing w:val="6"/>
          <w:sz w:val="24"/>
          <w:szCs w:val="24"/>
          <w:lang w:eastAsia="ru-RU"/>
        </w:rPr>
        <w:t xml:space="preserve"> </w:t>
      </w:r>
    </w:p>
    <w:p w14:paraId="59EB1C62" w14:textId="77777777" w:rsidR="00923A75" w:rsidRPr="00766B1D" w:rsidRDefault="00923A75" w:rsidP="00923A75">
      <w:pPr>
        <w:spacing w:after="0" w:line="300" w:lineRule="auto"/>
        <w:ind w:firstLine="567"/>
        <w:jc w:val="center"/>
        <w:rPr>
          <w:rFonts w:ascii="Times New Roman" w:eastAsia="MS Mincho" w:hAnsi="Times New Roman" w:cs="Times New Roman"/>
          <w:spacing w:val="6"/>
          <w:sz w:val="24"/>
          <w:szCs w:val="24"/>
          <w:lang w:eastAsia="ru-RU"/>
        </w:rPr>
      </w:pPr>
    </w:p>
    <w:p w14:paraId="3D9C48C9" w14:textId="77777777" w:rsidR="002B2190" w:rsidRPr="00982CB9" w:rsidRDefault="002B2190" w:rsidP="002B2190">
      <w:pPr>
        <w:spacing w:after="0" w:line="240" w:lineRule="auto"/>
        <w:jc w:val="center"/>
        <w:rPr>
          <w:rFonts w:ascii="Times New Roman" w:hAnsi="Times New Roman" w:cs="Times New Roman"/>
          <w:sz w:val="40"/>
          <w:szCs w:val="40"/>
        </w:rPr>
      </w:pPr>
    </w:p>
    <w:p w14:paraId="2FA11745" w14:textId="77777777" w:rsidR="002B2190" w:rsidRPr="00982CB9" w:rsidRDefault="002B2190" w:rsidP="002B2190">
      <w:pPr>
        <w:spacing w:after="0" w:line="240" w:lineRule="auto"/>
        <w:jc w:val="center"/>
        <w:rPr>
          <w:rFonts w:ascii="Times New Roman" w:hAnsi="Times New Roman" w:cs="Times New Roman"/>
          <w:sz w:val="40"/>
          <w:szCs w:val="40"/>
        </w:rPr>
      </w:pPr>
    </w:p>
    <w:p w14:paraId="302CF714" w14:textId="7E6E3664" w:rsidR="002B2190" w:rsidRPr="005B3834" w:rsidRDefault="002B2190" w:rsidP="00430C1C">
      <w:pPr>
        <w:spacing w:after="0" w:line="240" w:lineRule="auto"/>
        <w:ind w:firstLine="567"/>
        <w:jc w:val="center"/>
        <w:rPr>
          <w:rFonts w:ascii="Times New Roman" w:eastAsia="MS Mincho" w:hAnsi="Times New Roman" w:cs="Times New Roman"/>
          <w:b/>
          <w:sz w:val="50"/>
          <w:szCs w:val="50"/>
        </w:rPr>
      </w:pPr>
      <w:r>
        <w:rPr>
          <w:rFonts w:ascii="Times New Roman" w:eastAsia="MS Mincho" w:hAnsi="Times New Roman" w:cs="Times New Roman"/>
          <w:b/>
          <w:sz w:val="50"/>
          <w:szCs w:val="50"/>
        </w:rPr>
        <w:t xml:space="preserve">Гражданское законодательство РФ: </w:t>
      </w:r>
      <w:r w:rsidR="00430C1C">
        <w:rPr>
          <w:rFonts w:ascii="Times New Roman" w:eastAsia="MS Mincho" w:hAnsi="Times New Roman" w:cs="Times New Roman"/>
          <w:b/>
          <w:sz w:val="50"/>
          <w:szCs w:val="50"/>
        </w:rPr>
        <w:t xml:space="preserve">история и </w:t>
      </w:r>
      <w:r>
        <w:rPr>
          <w:rFonts w:ascii="Times New Roman" w:eastAsia="MS Mincho" w:hAnsi="Times New Roman" w:cs="Times New Roman"/>
          <w:b/>
          <w:sz w:val="50"/>
          <w:szCs w:val="50"/>
        </w:rPr>
        <w:t>современное состояние, тенденции и перспективы развития</w:t>
      </w:r>
    </w:p>
    <w:p w14:paraId="480F7CA7" w14:textId="77777777" w:rsidR="002B2190" w:rsidRPr="00982CB9" w:rsidRDefault="002B2190" w:rsidP="002B2190">
      <w:pPr>
        <w:spacing w:after="0" w:line="240" w:lineRule="auto"/>
        <w:jc w:val="center"/>
        <w:rPr>
          <w:rFonts w:ascii="Times New Roman" w:eastAsia="MS Mincho" w:hAnsi="Times New Roman" w:cs="Times New Roman"/>
          <w:b/>
          <w:sz w:val="40"/>
          <w:szCs w:val="40"/>
        </w:rPr>
      </w:pPr>
    </w:p>
    <w:p w14:paraId="152DE9F6" w14:textId="6529A967" w:rsidR="002B2190" w:rsidRPr="003C4735" w:rsidRDefault="002B2190" w:rsidP="002B2190">
      <w:pPr>
        <w:spacing w:after="0" w:line="240" w:lineRule="auto"/>
        <w:ind w:firstLine="567"/>
        <w:jc w:val="center"/>
        <w:rPr>
          <w:rFonts w:ascii="Times New Roman" w:eastAsia="MS Mincho" w:hAnsi="Times New Roman" w:cs="Times New Roman"/>
          <w:sz w:val="40"/>
          <w:szCs w:val="40"/>
        </w:rPr>
      </w:pPr>
      <w:r>
        <w:rPr>
          <w:rFonts w:ascii="Times New Roman" w:eastAsia="MS Mincho" w:hAnsi="Times New Roman" w:cs="Times New Roman"/>
          <w:sz w:val="40"/>
          <w:szCs w:val="40"/>
          <w:lang w:val="en-US"/>
        </w:rPr>
        <w:t>V</w:t>
      </w:r>
      <w:r>
        <w:rPr>
          <w:rFonts w:ascii="Times New Roman" w:eastAsia="MS Mincho" w:hAnsi="Times New Roman" w:cs="Times New Roman"/>
          <w:sz w:val="40"/>
          <w:szCs w:val="40"/>
        </w:rPr>
        <w:t xml:space="preserve"> Национальная научно-практическая конференция</w:t>
      </w:r>
      <w:r w:rsidRPr="003C4735">
        <w:rPr>
          <w:rFonts w:ascii="Times New Roman" w:eastAsia="MS Mincho" w:hAnsi="Times New Roman" w:cs="Times New Roman"/>
          <w:sz w:val="40"/>
          <w:szCs w:val="40"/>
        </w:rPr>
        <w:t xml:space="preserve"> (симпозиум)</w:t>
      </w:r>
    </w:p>
    <w:p w14:paraId="1D754D4C" w14:textId="483E3318" w:rsidR="002B2190" w:rsidRPr="00982CB9" w:rsidRDefault="002B2190" w:rsidP="002B2190">
      <w:pPr>
        <w:spacing w:after="0" w:line="240" w:lineRule="auto"/>
        <w:jc w:val="center"/>
        <w:rPr>
          <w:rFonts w:ascii="Times New Roman" w:hAnsi="Times New Roman" w:cs="Times New Roman"/>
          <w:sz w:val="40"/>
          <w:szCs w:val="40"/>
        </w:rPr>
      </w:pPr>
      <w:r w:rsidRPr="00982CB9">
        <w:rPr>
          <w:rFonts w:ascii="Times New Roman" w:hAnsi="Times New Roman" w:cs="Times New Roman"/>
          <w:sz w:val="40"/>
          <w:szCs w:val="40"/>
        </w:rPr>
        <w:t xml:space="preserve"> (г. Краснодар, </w:t>
      </w:r>
      <w:r w:rsidR="00A24EF0">
        <w:rPr>
          <w:rFonts w:ascii="Times New Roman" w:hAnsi="Times New Roman" w:cs="Times New Roman"/>
          <w:sz w:val="40"/>
          <w:szCs w:val="40"/>
        </w:rPr>
        <w:t>15</w:t>
      </w:r>
      <w:r>
        <w:rPr>
          <w:rFonts w:ascii="Times New Roman" w:hAnsi="Times New Roman" w:cs="Times New Roman"/>
          <w:sz w:val="40"/>
          <w:szCs w:val="40"/>
        </w:rPr>
        <w:t xml:space="preserve"> </w:t>
      </w:r>
      <w:r w:rsidR="00A24EF0">
        <w:rPr>
          <w:rFonts w:ascii="Times New Roman" w:hAnsi="Times New Roman" w:cs="Times New Roman"/>
          <w:sz w:val="40"/>
          <w:szCs w:val="40"/>
        </w:rPr>
        <w:t>мая</w:t>
      </w:r>
      <w:r w:rsidRPr="00982CB9">
        <w:rPr>
          <w:rFonts w:ascii="Times New Roman" w:hAnsi="Times New Roman" w:cs="Times New Roman"/>
          <w:sz w:val="40"/>
          <w:szCs w:val="40"/>
        </w:rPr>
        <w:t xml:space="preserve"> 20</w:t>
      </w:r>
      <w:r w:rsidR="00A24EF0">
        <w:rPr>
          <w:rFonts w:ascii="Times New Roman" w:hAnsi="Times New Roman" w:cs="Times New Roman"/>
          <w:sz w:val="40"/>
          <w:szCs w:val="40"/>
        </w:rPr>
        <w:t>20</w:t>
      </w:r>
      <w:r w:rsidRPr="00982CB9">
        <w:rPr>
          <w:rFonts w:ascii="Times New Roman" w:hAnsi="Times New Roman" w:cs="Times New Roman"/>
          <w:sz w:val="40"/>
          <w:szCs w:val="40"/>
        </w:rPr>
        <w:t xml:space="preserve"> г.)</w:t>
      </w:r>
    </w:p>
    <w:p w14:paraId="5D9BBAAF" w14:textId="0FF00149" w:rsidR="002B2190" w:rsidRPr="00982CB9" w:rsidRDefault="002B2190" w:rsidP="00923A75">
      <w:pPr>
        <w:spacing w:after="0" w:line="240" w:lineRule="auto"/>
        <w:jc w:val="center"/>
        <w:rPr>
          <w:rFonts w:ascii="Times New Roman" w:hAnsi="Times New Roman" w:cs="Times New Roman"/>
          <w:sz w:val="40"/>
          <w:szCs w:val="40"/>
        </w:rPr>
      </w:pPr>
      <w:r>
        <w:rPr>
          <w:rFonts w:ascii="Times New Roman" w:hAnsi="Times New Roman" w:cs="Times New Roman"/>
          <w:sz w:val="40"/>
          <w:szCs w:val="40"/>
        </w:rPr>
        <w:t>Сборник н</w:t>
      </w:r>
      <w:r w:rsidRPr="00982CB9">
        <w:rPr>
          <w:rFonts w:ascii="Times New Roman" w:hAnsi="Times New Roman" w:cs="Times New Roman"/>
          <w:sz w:val="40"/>
          <w:szCs w:val="40"/>
        </w:rPr>
        <w:t>аучно-практически</w:t>
      </w:r>
      <w:r>
        <w:rPr>
          <w:rFonts w:ascii="Times New Roman" w:hAnsi="Times New Roman" w:cs="Times New Roman"/>
          <w:sz w:val="40"/>
          <w:szCs w:val="40"/>
        </w:rPr>
        <w:t>х</w:t>
      </w:r>
      <w:r w:rsidRPr="00982CB9">
        <w:rPr>
          <w:rFonts w:ascii="Times New Roman" w:hAnsi="Times New Roman" w:cs="Times New Roman"/>
          <w:sz w:val="40"/>
          <w:szCs w:val="40"/>
        </w:rPr>
        <w:t xml:space="preserve"> стат</w:t>
      </w:r>
      <w:r>
        <w:rPr>
          <w:rFonts w:ascii="Times New Roman" w:hAnsi="Times New Roman" w:cs="Times New Roman"/>
          <w:sz w:val="40"/>
          <w:szCs w:val="40"/>
        </w:rPr>
        <w:t>ей</w:t>
      </w:r>
    </w:p>
    <w:p w14:paraId="3A55AD0E" w14:textId="77777777" w:rsidR="002B2190" w:rsidRPr="00982CB9" w:rsidRDefault="002B2190" w:rsidP="002B2190">
      <w:pPr>
        <w:spacing w:after="0" w:line="240" w:lineRule="auto"/>
        <w:jc w:val="center"/>
        <w:rPr>
          <w:rFonts w:ascii="Times New Roman" w:hAnsi="Times New Roman" w:cs="Times New Roman"/>
          <w:sz w:val="40"/>
          <w:szCs w:val="40"/>
        </w:rPr>
      </w:pPr>
    </w:p>
    <w:p w14:paraId="4A8D753E" w14:textId="77777777" w:rsidR="00923A75" w:rsidRPr="00147FA5" w:rsidRDefault="00923A75" w:rsidP="00923A75">
      <w:pPr>
        <w:jc w:val="center"/>
      </w:pPr>
    </w:p>
    <w:p w14:paraId="2FD7B5EC" w14:textId="77777777" w:rsidR="00923A75" w:rsidRPr="00147FA5" w:rsidRDefault="00923A75" w:rsidP="00923A75">
      <w:r>
        <w:rPr>
          <w:noProof/>
          <w:sz w:val="28"/>
          <w:szCs w:val="28"/>
        </w:rPr>
        <w:drawing>
          <wp:anchor distT="0" distB="0" distL="114300" distR="114300" simplePos="0" relativeHeight="251663360" behindDoc="1" locked="0" layoutInCell="1" allowOverlap="1" wp14:anchorId="3F1C5B3B" wp14:editId="3DE4B2C9">
            <wp:simplePos x="0" y="0"/>
            <wp:positionH relativeFrom="column">
              <wp:posOffset>2213002</wp:posOffset>
            </wp:positionH>
            <wp:positionV relativeFrom="paragraph">
              <wp:posOffset>15166</wp:posOffset>
            </wp:positionV>
            <wp:extent cx="1541145" cy="2057400"/>
            <wp:effectExtent l="0" t="0" r="8255" b="0"/>
            <wp:wrapThrough wrapText="bothSides">
              <wp:wrapPolygon edited="0">
                <wp:start x="0" y="0"/>
                <wp:lineTo x="0" y="21333"/>
                <wp:lineTo x="21360" y="21333"/>
                <wp:lineTo x="21360" y="0"/>
                <wp:lineTo x="0" y="0"/>
              </wp:wrapPolygon>
            </wp:wrapThrough>
            <wp:docPr id="9" name="Изображение 9" descr="Эмблем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0" descr="Эмблема.jpg"/>
                    <pic:cNvPicPr>
                      <a:picLocks noChangeAspect="1" noChangeArrowheads="1"/>
                    </pic:cNvPicPr>
                  </pic:nvPicPr>
                  <pic:blipFill>
                    <a:blip r:embed="rId8" cstate="print">
                      <a:extLst>
                        <a:ext uri="{28A0092B-C50C-407E-A947-70E740481C1C}">
                          <a14:useLocalDpi xmlns:a14="http://schemas.microsoft.com/office/drawing/2010/main" val="0"/>
                        </a:ext>
                      </a:extLst>
                    </a:blip>
                    <a:srcRect r="74057"/>
                    <a:stretch>
                      <a:fillRect/>
                    </a:stretch>
                  </pic:blipFill>
                  <pic:spPr bwMode="auto">
                    <a:xfrm>
                      <a:off x="0" y="0"/>
                      <a:ext cx="1541145" cy="2057400"/>
                    </a:xfrm>
                    <a:prstGeom prst="rect">
                      <a:avLst/>
                    </a:prstGeom>
                    <a:noFill/>
                    <a:ln>
                      <a:noFill/>
                    </a:ln>
                  </pic:spPr>
                </pic:pic>
              </a:graphicData>
            </a:graphic>
          </wp:anchor>
        </w:drawing>
      </w:r>
    </w:p>
    <w:p w14:paraId="016AF5E1" w14:textId="77777777" w:rsidR="00923A75" w:rsidRDefault="00923A75" w:rsidP="00923A75">
      <w:pPr>
        <w:jc w:val="center"/>
        <w:rPr>
          <w:sz w:val="32"/>
          <w:szCs w:val="32"/>
        </w:rPr>
      </w:pPr>
    </w:p>
    <w:p w14:paraId="7F6775BA" w14:textId="77777777" w:rsidR="00923A75" w:rsidRDefault="00923A75" w:rsidP="00923A75">
      <w:pPr>
        <w:jc w:val="center"/>
        <w:rPr>
          <w:sz w:val="32"/>
          <w:szCs w:val="32"/>
        </w:rPr>
      </w:pPr>
    </w:p>
    <w:p w14:paraId="03DCD7FE" w14:textId="77777777" w:rsidR="002B2190" w:rsidRDefault="002B2190" w:rsidP="002B2190">
      <w:pPr>
        <w:spacing w:after="0" w:line="240" w:lineRule="auto"/>
        <w:jc w:val="center"/>
        <w:rPr>
          <w:rFonts w:ascii="Times New Roman" w:hAnsi="Times New Roman" w:cs="Times New Roman"/>
          <w:sz w:val="40"/>
          <w:szCs w:val="40"/>
        </w:rPr>
      </w:pPr>
    </w:p>
    <w:p w14:paraId="4A56DFF3" w14:textId="13EE9849" w:rsidR="002B2190" w:rsidRDefault="002B2190" w:rsidP="002B2190">
      <w:pPr>
        <w:spacing w:after="0" w:line="240" w:lineRule="auto"/>
        <w:rPr>
          <w:rFonts w:ascii="Times New Roman" w:hAnsi="Times New Roman" w:cs="Times New Roman"/>
          <w:sz w:val="40"/>
          <w:szCs w:val="40"/>
        </w:rPr>
      </w:pPr>
    </w:p>
    <w:p w14:paraId="4354E4B0" w14:textId="2AD6084F" w:rsidR="002B2190" w:rsidRDefault="002B2190" w:rsidP="002B2190">
      <w:pPr>
        <w:spacing w:after="0" w:line="240" w:lineRule="auto"/>
        <w:rPr>
          <w:rFonts w:ascii="Times New Roman" w:hAnsi="Times New Roman" w:cs="Times New Roman"/>
          <w:sz w:val="40"/>
          <w:szCs w:val="40"/>
        </w:rPr>
      </w:pPr>
    </w:p>
    <w:p w14:paraId="256119B0" w14:textId="77777777" w:rsidR="002B2190" w:rsidRDefault="002B2190" w:rsidP="002B2190">
      <w:pPr>
        <w:spacing w:after="0" w:line="240" w:lineRule="auto"/>
        <w:rPr>
          <w:rFonts w:ascii="Times New Roman" w:hAnsi="Times New Roman" w:cs="Times New Roman"/>
          <w:sz w:val="40"/>
          <w:szCs w:val="40"/>
        </w:rPr>
      </w:pPr>
    </w:p>
    <w:p w14:paraId="68AD425B" w14:textId="77777777" w:rsidR="00923A75" w:rsidRDefault="00923A75" w:rsidP="002B2190">
      <w:pPr>
        <w:spacing w:after="0" w:line="240" w:lineRule="auto"/>
        <w:jc w:val="center"/>
        <w:rPr>
          <w:rFonts w:ascii="Times New Roman" w:hAnsi="Times New Roman" w:cs="Times New Roman"/>
          <w:sz w:val="40"/>
          <w:szCs w:val="40"/>
        </w:rPr>
      </w:pPr>
    </w:p>
    <w:p w14:paraId="01DA3B5B" w14:textId="09D06ADC" w:rsidR="002B2190" w:rsidRPr="00982CB9" w:rsidRDefault="002B2190" w:rsidP="002B2190">
      <w:pPr>
        <w:spacing w:after="0" w:line="240" w:lineRule="auto"/>
        <w:jc w:val="center"/>
        <w:rPr>
          <w:rFonts w:ascii="Times New Roman" w:hAnsi="Times New Roman" w:cs="Times New Roman"/>
          <w:sz w:val="40"/>
          <w:szCs w:val="40"/>
        </w:rPr>
      </w:pPr>
      <w:r w:rsidRPr="00982CB9">
        <w:rPr>
          <w:rFonts w:ascii="Times New Roman" w:hAnsi="Times New Roman" w:cs="Times New Roman"/>
          <w:sz w:val="40"/>
          <w:szCs w:val="40"/>
        </w:rPr>
        <w:t>Краснодар</w:t>
      </w:r>
    </w:p>
    <w:p w14:paraId="2C23CFE0" w14:textId="77777777" w:rsidR="002B2190" w:rsidRPr="00982CB9" w:rsidRDefault="002B2190" w:rsidP="002B2190">
      <w:pPr>
        <w:spacing w:after="0" w:line="240" w:lineRule="auto"/>
        <w:jc w:val="center"/>
        <w:rPr>
          <w:rFonts w:ascii="Times New Roman" w:hAnsi="Times New Roman" w:cs="Times New Roman"/>
          <w:sz w:val="40"/>
          <w:szCs w:val="40"/>
        </w:rPr>
      </w:pPr>
      <w:r w:rsidRPr="00982CB9">
        <w:rPr>
          <w:rFonts w:ascii="Times New Roman" w:hAnsi="Times New Roman" w:cs="Times New Roman"/>
          <w:sz w:val="40"/>
          <w:szCs w:val="40"/>
        </w:rPr>
        <w:t xml:space="preserve">АНО </w:t>
      </w:r>
      <w:r w:rsidRPr="009F4080">
        <w:rPr>
          <w:rStyle w:val="12"/>
          <w:rFonts w:ascii="Times New Roman" w:hAnsi="Times New Roman"/>
          <w:color w:val="000000"/>
          <w:sz w:val="40"/>
          <w:szCs w:val="40"/>
        </w:rPr>
        <w:t>«</w:t>
      </w:r>
      <w:r w:rsidRPr="00982CB9">
        <w:rPr>
          <w:rFonts w:ascii="Times New Roman" w:hAnsi="Times New Roman" w:cs="Times New Roman"/>
          <w:sz w:val="40"/>
          <w:szCs w:val="40"/>
        </w:rPr>
        <w:t>НИИ АПСП</w:t>
      </w:r>
      <w:r w:rsidRPr="009F4080">
        <w:rPr>
          <w:rStyle w:val="12"/>
          <w:rFonts w:ascii="Times New Roman" w:hAnsi="Times New Roman"/>
          <w:color w:val="000000"/>
          <w:sz w:val="40"/>
          <w:szCs w:val="40"/>
        </w:rPr>
        <w:t>»</w:t>
      </w:r>
    </w:p>
    <w:p w14:paraId="2BB3D3B5" w14:textId="46C76858" w:rsidR="002B2190" w:rsidRPr="002B2190" w:rsidRDefault="002B2190" w:rsidP="002B2190">
      <w:pPr>
        <w:spacing w:after="0" w:line="240" w:lineRule="auto"/>
        <w:jc w:val="center"/>
        <w:rPr>
          <w:rFonts w:ascii="Times New Roman" w:hAnsi="Times New Roman" w:cs="Times New Roman"/>
          <w:sz w:val="40"/>
          <w:szCs w:val="40"/>
        </w:rPr>
      </w:pPr>
      <w:r w:rsidRPr="00982CB9">
        <w:rPr>
          <w:rFonts w:ascii="Times New Roman" w:hAnsi="Times New Roman" w:cs="Times New Roman"/>
          <w:sz w:val="40"/>
          <w:szCs w:val="40"/>
        </w:rPr>
        <w:t>20</w:t>
      </w:r>
      <w:r>
        <w:rPr>
          <w:rFonts w:ascii="Times New Roman" w:hAnsi="Times New Roman" w:cs="Times New Roman"/>
          <w:sz w:val="40"/>
          <w:szCs w:val="40"/>
        </w:rPr>
        <w:t>20</w:t>
      </w:r>
    </w:p>
    <w:p w14:paraId="2CCD87A5" w14:textId="77777777" w:rsidR="002B2190" w:rsidRPr="002B2190" w:rsidRDefault="002B2190" w:rsidP="002B2190">
      <w:pPr>
        <w:spacing w:after="0" w:line="240" w:lineRule="auto"/>
        <w:rPr>
          <w:rStyle w:val="12"/>
          <w:rFonts w:ascii="Times New Roman" w:hAnsi="Times New Roman"/>
          <w:b/>
          <w:i w:val="0"/>
          <w:color w:val="auto"/>
          <w:sz w:val="32"/>
          <w:szCs w:val="32"/>
        </w:rPr>
      </w:pPr>
      <w:r w:rsidRPr="002B2190">
        <w:rPr>
          <w:rStyle w:val="12"/>
          <w:rFonts w:ascii="Times New Roman" w:hAnsi="Times New Roman"/>
          <w:b/>
          <w:color w:val="auto"/>
          <w:sz w:val="32"/>
          <w:szCs w:val="32"/>
        </w:rPr>
        <w:lastRenderedPageBreak/>
        <w:t xml:space="preserve">УДК  347 </w:t>
      </w:r>
    </w:p>
    <w:p w14:paraId="63D983F4" w14:textId="77777777" w:rsidR="002B2190" w:rsidRPr="002B2190" w:rsidRDefault="002B2190" w:rsidP="002B2190">
      <w:pPr>
        <w:spacing w:after="0" w:line="240" w:lineRule="auto"/>
        <w:rPr>
          <w:rStyle w:val="12"/>
          <w:rFonts w:ascii="Times New Roman" w:hAnsi="Times New Roman"/>
          <w:b/>
          <w:i w:val="0"/>
          <w:color w:val="auto"/>
          <w:sz w:val="32"/>
          <w:szCs w:val="32"/>
        </w:rPr>
      </w:pPr>
      <w:r w:rsidRPr="002B2190">
        <w:rPr>
          <w:rStyle w:val="12"/>
          <w:rFonts w:ascii="Times New Roman" w:hAnsi="Times New Roman"/>
          <w:b/>
          <w:color w:val="auto"/>
          <w:sz w:val="32"/>
          <w:szCs w:val="32"/>
        </w:rPr>
        <w:t>ББК  67.404</w:t>
      </w:r>
    </w:p>
    <w:p w14:paraId="2AA81EA1" w14:textId="77777777" w:rsidR="002B2190" w:rsidRPr="002B2190" w:rsidRDefault="002B2190" w:rsidP="002B2190">
      <w:pPr>
        <w:spacing w:after="0" w:line="240" w:lineRule="auto"/>
        <w:rPr>
          <w:rStyle w:val="12"/>
          <w:rFonts w:ascii="Times New Roman" w:hAnsi="Times New Roman"/>
          <w:i w:val="0"/>
          <w:color w:val="auto"/>
          <w:sz w:val="32"/>
          <w:szCs w:val="32"/>
        </w:rPr>
      </w:pPr>
      <w:r w:rsidRPr="002B2190">
        <w:rPr>
          <w:rStyle w:val="12"/>
          <w:rFonts w:ascii="Times New Roman" w:hAnsi="Times New Roman"/>
          <w:b/>
          <w:color w:val="auto"/>
          <w:sz w:val="32"/>
          <w:szCs w:val="32"/>
        </w:rPr>
        <w:t>А75</w:t>
      </w:r>
    </w:p>
    <w:p w14:paraId="0EABCB0D" w14:textId="77777777" w:rsidR="002B2190" w:rsidRPr="00F229DB" w:rsidRDefault="002B2190" w:rsidP="002B2190">
      <w:pPr>
        <w:shd w:val="clear" w:color="auto" w:fill="FFFFFF"/>
        <w:spacing w:after="0" w:line="240" w:lineRule="auto"/>
        <w:rPr>
          <w:rFonts w:ascii="Times New Roman" w:hAnsi="Times New Roman" w:cs="Times New Roman"/>
          <w:b/>
          <w:sz w:val="32"/>
          <w:szCs w:val="32"/>
        </w:rPr>
      </w:pPr>
    </w:p>
    <w:p w14:paraId="6F996CEA" w14:textId="77777777" w:rsidR="002B2190" w:rsidRPr="00F229DB" w:rsidRDefault="002B2190" w:rsidP="002B2190">
      <w:pPr>
        <w:shd w:val="clear" w:color="auto" w:fill="FFFFFF"/>
        <w:spacing w:after="0" w:line="240" w:lineRule="auto"/>
        <w:ind w:left="709"/>
        <w:rPr>
          <w:rFonts w:ascii="Times New Roman" w:hAnsi="Times New Roman" w:cs="Times New Roman"/>
          <w:b/>
          <w:sz w:val="32"/>
          <w:szCs w:val="32"/>
        </w:rPr>
      </w:pPr>
    </w:p>
    <w:p w14:paraId="6BF439E0" w14:textId="77777777" w:rsidR="002B2190" w:rsidRPr="00F229DB" w:rsidRDefault="002B2190" w:rsidP="002B2190">
      <w:pPr>
        <w:shd w:val="clear" w:color="auto" w:fill="FFFFFF"/>
        <w:spacing w:after="0" w:line="240" w:lineRule="auto"/>
        <w:ind w:left="709"/>
        <w:rPr>
          <w:rFonts w:ascii="Times New Roman" w:hAnsi="Times New Roman" w:cs="Times New Roman"/>
          <w:b/>
          <w:sz w:val="32"/>
          <w:szCs w:val="32"/>
        </w:rPr>
      </w:pPr>
    </w:p>
    <w:p w14:paraId="135D43BC" w14:textId="77777777" w:rsidR="002B2190" w:rsidRDefault="002B2190" w:rsidP="002B2190">
      <w:pPr>
        <w:shd w:val="clear" w:color="auto" w:fill="FFFFFF"/>
        <w:spacing w:after="0" w:line="240" w:lineRule="auto"/>
        <w:ind w:left="709"/>
        <w:rPr>
          <w:rFonts w:ascii="Times New Roman" w:hAnsi="Times New Roman" w:cs="Times New Roman"/>
          <w:b/>
          <w:sz w:val="32"/>
          <w:szCs w:val="32"/>
        </w:rPr>
      </w:pPr>
    </w:p>
    <w:p w14:paraId="7BFC326C" w14:textId="77777777" w:rsidR="002B2190" w:rsidRDefault="002B2190" w:rsidP="002B2190">
      <w:pPr>
        <w:shd w:val="clear" w:color="auto" w:fill="FFFFFF"/>
        <w:spacing w:after="0" w:line="240" w:lineRule="auto"/>
        <w:ind w:left="709"/>
        <w:rPr>
          <w:rFonts w:ascii="Times New Roman" w:hAnsi="Times New Roman" w:cs="Times New Roman"/>
          <w:b/>
          <w:sz w:val="32"/>
          <w:szCs w:val="32"/>
        </w:rPr>
      </w:pPr>
    </w:p>
    <w:tbl>
      <w:tblPr>
        <w:tblW w:w="0" w:type="auto"/>
        <w:tblLook w:val="00A0" w:firstRow="1" w:lastRow="0" w:firstColumn="1" w:lastColumn="0" w:noHBand="0" w:noVBand="0"/>
      </w:tblPr>
      <w:tblGrid>
        <w:gridCol w:w="817"/>
        <w:gridCol w:w="8471"/>
      </w:tblGrid>
      <w:tr w:rsidR="002B2190" w:rsidRPr="009F4080" w14:paraId="7ACCD1B4" w14:textId="77777777" w:rsidTr="00457499">
        <w:tc>
          <w:tcPr>
            <w:tcW w:w="817" w:type="dxa"/>
          </w:tcPr>
          <w:p w14:paraId="1527631B" w14:textId="77777777" w:rsidR="002B2190" w:rsidRPr="00F229DB" w:rsidRDefault="002B2190" w:rsidP="00457499">
            <w:pPr>
              <w:spacing w:after="0" w:line="240" w:lineRule="auto"/>
              <w:jc w:val="both"/>
              <w:rPr>
                <w:rFonts w:ascii="Times New Roman" w:hAnsi="Times New Roman" w:cs="Times New Roman"/>
                <w:b/>
                <w:bCs/>
                <w:sz w:val="32"/>
                <w:szCs w:val="32"/>
              </w:rPr>
            </w:pPr>
            <w:r w:rsidRPr="00F229DB">
              <w:rPr>
                <w:rFonts w:ascii="Times New Roman" w:hAnsi="Times New Roman" w:cs="Times New Roman"/>
                <w:b/>
                <w:bCs/>
                <w:sz w:val="32"/>
                <w:szCs w:val="32"/>
              </w:rPr>
              <w:t>А75</w:t>
            </w:r>
          </w:p>
        </w:tc>
        <w:tc>
          <w:tcPr>
            <w:tcW w:w="8471" w:type="dxa"/>
          </w:tcPr>
          <w:p w14:paraId="2311BEAE" w14:textId="0438DCE7" w:rsidR="002B2190" w:rsidRPr="00AA3758" w:rsidRDefault="00AA3758" w:rsidP="00AA3758">
            <w:pPr>
              <w:spacing w:after="0" w:line="240" w:lineRule="auto"/>
              <w:jc w:val="both"/>
              <w:rPr>
                <w:rFonts w:ascii="Times New Roman" w:hAnsi="Times New Roman" w:cs="Times New Roman"/>
                <w:sz w:val="32"/>
                <w:szCs w:val="32"/>
              </w:rPr>
            </w:pPr>
            <w:r w:rsidRPr="00AA3758">
              <w:rPr>
                <w:rFonts w:ascii="Times New Roman" w:hAnsi="Times New Roman" w:cs="Times New Roman"/>
                <w:sz w:val="32"/>
                <w:szCs w:val="32"/>
              </w:rPr>
              <w:t xml:space="preserve">Гражданское законодательство РФ: история и современное состояние, тенденции и перспективы развития </w:t>
            </w:r>
            <w:r w:rsidR="002B2190" w:rsidRPr="003654C2">
              <w:rPr>
                <w:rFonts w:ascii="Times New Roman" w:hAnsi="Times New Roman" w:cs="Times New Roman"/>
                <w:sz w:val="32"/>
                <w:szCs w:val="32"/>
              </w:rPr>
              <w:t xml:space="preserve">// </w:t>
            </w:r>
            <w:r w:rsidR="002B2190">
              <w:rPr>
                <w:rFonts w:ascii="Times New Roman" w:hAnsi="Times New Roman" w:cs="Times New Roman"/>
                <w:sz w:val="32"/>
                <w:szCs w:val="32"/>
              </w:rPr>
              <w:t xml:space="preserve">Сборник статей </w:t>
            </w:r>
            <w:r>
              <w:rPr>
                <w:rFonts w:ascii="Times New Roman" w:eastAsia="MS Mincho" w:hAnsi="Times New Roman" w:cs="Times New Roman"/>
                <w:sz w:val="32"/>
                <w:szCs w:val="32"/>
                <w:lang w:val="en-US"/>
              </w:rPr>
              <w:t>V</w:t>
            </w:r>
            <w:r w:rsidR="002B2190" w:rsidRPr="003654C2">
              <w:rPr>
                <w:rFonts w:ascii="Times New Roman" w:eastAsia="MS Mincho" w:hAnsi="Times New Roman" w:cs="Times New Roman"/>
                <w:sz w:val="32"/>
                <w:szCs w:val="32"/>
              </w:rPr>
              <w:t xml:space="preserve"> </w:t>
            </w:r>
            <w:r>
              <w:rPr>
                <w:rFonts w:ascii="Times New Roman" w:eastAsia="MS Mincho" w:hAnsi="Times New Roman" w:cs="Times New Roman"/>
                <w:sz w:val="32"/>
                <w:szCs w:val="32"/>
              </w:rPr>
              <w:t>Национальной</w:t>
            </w:r>
            <w:r w:rsidR="002B2190" w:rsidRPr="00304153">
              <w:rPr>
                <w:rFonts w:ascii="Times New Roman" w:eastAsia="MS Mincho" w:hAnsi="Times New Roman" w:cs="Times New Roman"/>
                <w:sz w:val="32"/>
                <w:szCs w:val="32"/>
              </w:rPr>
              <w:t xml:space="preserve"> </w:t>
            </w:r>
            <w:r w:rsidR="002B2190">
              <w:rPr>
                <w:rFonts w:ascii="Times New Roman" w:eastAsia="MS Mincho" w:hAnsi="Times New Roman" w:cs="Times New Roman"/>
                <w:sz w:val="32"/>
                <w:szCs w:val="32"/>
              </w:rPr>
              <w:t xml:space="preserve">научно-практической конференции </w:t>
            </w:r>
            <w:r w:rsidR="002B2190" w:rsidRPr="00304153">
              <w:rPr>
                <w:rFonts w:ascii="Times New Roman" w:eastAsia="MS Mincho" w:hAnsi="Times New Roman" w:cs="Times New Roman"/>
                <w:sz w:val="32"/>
                <w:szCs w:val="32"/>
              </w:rPr>
              <w:t xml:space="preserve">(симпозиума) </w:t>
            </w:r>
            <w:r w:rsidR="002B2190">
              <w:rPr>
                <w:rFonts w:ascii="Times New Roman" w:eastAsia="MS Mincho" w:hAnsi="Times New Roman" w:cs="Times New Roman"/>
                <w:sz w:val="32"/>
                <w:szCs w:val="32"/>
              </w:rPr>
              <w:t>(</w:t>
            </w:r>
            <w:r w:rsidR="002B2190">
              <w:rPr>
                <w:rFonts w:ascii="Times New Roman" w:hAnsi="Times New Roman" w:cs="Times New Roman"/>
                <w:sz w:val="32"/>
                <w:szCs w:val="32"/>
              </w:rPr>
              <w:t xml:space="preserve">г. Краснодар, </w:t>
            </w:r>
            <w:r>
              <w:rPr>
                <w:rFonts w:ascii="Times New Roman" w:hAnsi="Times New Roman" w:cs="Times New Roman"/>
                <w:sz w:val="32"/>
                <w:szCs w:val="32"/>
              </w:rPr>
              <w:t>15</w:t>
            </w:r>
            <w:r w:rsidR="002B2190">
              <w:rPr>
                <w:rFonts w:ascii="Times New Roman" w:hAnsi="Times New Roman" w:cs="Times New Roman"/>
                <w:sz w:val="32"/>
                <w:szCs w:val="32"/>
              </w:rPr>
              <w:t xml:space="preserve"> </w:t>
            </w:r>
            <w:r>
              <w:rPr>
                <w:rFonts w:ascii="Times New Roman" w:hAnsi="Times New Roman" w:cs="Times New Roman"/>
                <w:sz w:val="32"/>
                <w:szCs w:val="32"/>
              </w:rPr>
              <w:t>мая</w:t>
            </w:r>
            <w:r w:rsidR="002B2190" w:rsidRPr="003654C2">
              <w:rPr>
                <w:rFonts w:ascii="Times New Roman" w:hAnsi="Times New Roman" w:cs="Times New Roman"/>
                <w:sz w:val="32"/>
                <w:szCs w:val="32"/>
              </w:rPr>
              <w:t xml:space="preserve"> 20</w:t>
            </w:r>
            <w:r>
              <w:rPr>
                <w:rFonts w:ascii="Times New Roman" w:hAnsi="Times New Roman" w:cs="Times New Roman"/>
                <w:sz w:val="32"/>
                <w:szCs w:val="32"/>
              </w:rPr>
              <w:t>20</w:t>
            </w:r>
            <w:r w:rsidR="002B2190" w:rsidRPr="003654C2">
              <w:rPr>
                <w:rFonts w:ascii="Times New Roman" w:hAnsi="Times New Roman" w:cs="Times New Roman"/>
                <w:sz w:val="32"/>
                <w:szCs w:val="32"/>
              </w:rPr>
              <w:t xml:space="preserve"> </w:t>
            </w:r>
            <w:r w:rsidR="002B2190">
              <w:rPr>
                <w:rFonts w:ascii="Times New Roman" w:hAnsi="Times New Roman" w:cs="Times New Roman"/>
                <w:sz w:val="32"/>
                <w:szCs w:val="32"/>
              </w:rPr>
              <w:t>г.). – Краснодар: АНО «НИИ АПСП», ФГБОУ ВО КубГАУ, 20</w:t>
            </w:r>
            <w:r>
              <w:rPr>
                <w:rFonts w:ascii="Times New Roman" w:hAnsi="Times New Roman" w:cs="Times New Roman"/>
                <w:sz w:val="32"/>
                <w:szCs w:val="32"/>
              </w:rPr>
              <w:t>20</w:t>
            </w:r>
            <w:r w:rsidR="002B2190">
              <w:rPr>
                <w:rFonts w:ascii="Times New Roman" w:hAnsi="Times New Roman" w:cs="Times New Roman"/>
                <w:sz w:val="32"/>
                <w:szCs w:val="32"/>
              </w:rPr>
              <w:t xml:space="preserve">. – </w:t>
            </w:r>
            <w:r w:rsidR="002B2190" w:rsidRPr="00304153">
              <w:rPr>
                <w:rFonts w:ascii="Times New Roman" w:hAnsi="Times New Roman" w:cs="Times New Roman"/>
                <w:sz w:val="32"/>
                <w:szCs w:val="32"/>
              </w:rPr>
              <w:t xml:space="preserve"> </w:t>
            </w:r>
            <w:r>
              <w:rPr>
                <w:rFonts w:ascii="Times New Roman" w:hAnsi="Times New Roman" w:cs="Times New Roman"/>
                <w:sz w:val="32"/>
                <w:szCs w:val="32"/>
              </w:rPr>
              <w:t xml:space="preserve">246 </w:t>
            </w:r>
            <w:r w:rsidR="002B2190" w:rsidRPr="00D047E8">
              <w:rPr>
                <w:rFonts w:ascii="Times New Roman" w:hAnsi="Times New Roman" w:cs="Times New Roman"/>
                <w:sz w:val="32"/>
                <w:szCs w:val="32"/>
              </w:rPr>
              <w:t>с.</w:t>
            </w:r>
          </w:p>
        </w:tc>
      </w:tr>
    </w:tbl>
    <w:p w14:paraId="1E95E4F2" w14:textId="77777777" w:rsidR="002B2190" w:rsidRDefault="002B2190" w:rsidP="002B2190">
      <w:pPr>
        <w:shd w:val="clear" w:color="auto" w:fill="FFFFFF"/>
        <w:spacing w:after="0" w:line="240" w:lineRule="auto"/>
        <w:jc w:val="both"/>
        <w:rPr>
          <w:rFonts w:ascii="Times New Roman" w:hAnsi="Times New Roman" w:cs="Times New Roman"/>
          <w:b/>
          <w:bCs/>
          <w:sz w:val="32"/>
          <w:szCs w:val="32"/>
        </w:rPr>
      </w:pPr>
    </w:p>
    <w:p w14:paraId="777CE9CF" w14:textId="77777777" w:rsidR="002B2190" w:rsidRDefault="002B2190" w:rsidP="002B2190">
      <w:pPr>
        <w:shd w:val="clear" w:color="auto" w:fill="FFFFFF"/>
        <w:spacing w:after="0" w:line="240" w:lineRule="auto"/>
        <w:ind w:firstLine="709"/>
        <w:jc w:val="both"/>
        <w:rPr>
          <w:rFonts w:ascii="Times New Roman" w:hAnsi="Times New Roman" w:cs="Times New Roman"/>
          <w:b/>
          <w:i/>
          <w:sz w:val="28"/>
          <w:szCs w:val="28"/>
          <w:shd w:val="clear" w:color="auto" w:fill="FFFFFF"/>
        </w:rPr>
      </w:pPr>
      <w:r w:rsidRPr="0098610B">
        <w:rPr>
          <w:rStyle w:val="12"/>
          <w:rFonts w:ascii="Times New Roman" w:hAnsi="Times New Roman"/>
          <w:b/>
          <w:sz w:val="28"/>
          <w:szCs w:val="28"/>
          <w:lang w:val="en-US"/>
        </w:rPr>
        <w:t>ISBN</w:t>
      </w:r>
      <w:r w:rsidRPr="0098610B">
        <w:rPr>
          <w:rStyle w:val="12"/>
          <w:rFonts w:ascii="Times New Roman" w:hAnsi="Times New Roman"/>
          <w:b/>
          <w:sz w:val="28"/>
          <w:szCs w:val="28"/>
        </w:rPr>
        <w:t xml:space="preserve"> </w:t>
      </w:r>
      <w:r w:rsidRPr="0098610B">
        <w:rPr>
          <w:rFonts w:ascii="Times New Roman" w:hAnsi="Times New Roman" w:cs="Times New Roman"/>
          <w:b/>
          <w:i/>
          <w:sz w:val="28"/>
          <w:szCs w:val="28"/>
          <w:shd w:val="clear" w:color="auto" w:fill="FFFFFF"/>
        </w:rPr>
        <w:t>978-5-9908315-8-2</w:t>
      </w:r>
      <w:r>
        <w:rPr>
          <w:rFonts w:ascii="Times New Roman" w:hAnsi="Times New Roman" w:cs="Times New Roman"/>
          <w:b/>
          <w:i/>
          <w:sz w:val="28"/>
          <w:szCs w:val="28"/>
          <w:shd w:val="clear" w:color="auto" w:fill="FFFFFF"/>
        </w:rPr>
        <w:t xml:space="preserve"> </w:t>
      </w:r>
    </w:p>
    <w:p w14:paraId="0E22987F" w14:textId="77777777" w:rsidR="002B2190" w:rsidRDefault="002B2190" w:rsidP="002B2190">
      <w:pPr>
        <w:shd w:val="clear" w:color="auto" w:fill="FFFFFF"/>
        <w:spacing w:after="0" w:line="240" w:lineRule="auto"/>
        <w:ind w:firstLine="709"/>
        <w:jc w:val="both"/>
        <w:rPr>
          <w:rStyle w:val="12"/>
          <w:rFonts w:ascii="Times New Roman" w:hAnsi="Times New Roman"/>
          <w:b/>
          <w:i w:val="0"/>
          <w:color w:val="000000"/>
          <w:sz w:val="28"/>
          <w:szCs w:val="28"/>
        </w:rPr>
      </w:pPr>
    </w:p>
    <w:p w14:paraId="604101FF" w14:textId="5B26AC90" w:rsidR="002B2190" w:rsidRPr="007E7557" w:rsidRDefault="002B2190" w:rsidP="002B2190">
      <w:pPr>
        <w:tabs>
          <w:tab w:val="left" w:pos="1418"/>
        </w:tabs>
        <w:suppressAutoHyphens/>
        <w:spacing w:after="0" w:line="240" w:lineRule="auto"/>
        <w:ind w:left="709" w:firstLine="709"/>
        <w:jc w:val="both"/>
        <w:outlineLvl w:val="0"/>
        <w:rPr>
          <w:rFonts w:ascii="Times New Roman" w:hAnsi="Times New Roman" w:cs="Times New Roman"/>
          <w:color w:val="000000"/>
          <w:spacing w:val="-3"/>
          <w:sz w:val="28"/>
          <w:szCs w:val="28"/>
        </w:rPr>
      </w:pPr>
      <w:bookmarkStart w:id="0" w:name="_Toc409359797"/>
      <w:r w:rsidRPr="007E7557">
        <w:rPr>
          <w:rFonts w:ascii="Times New Roman" w:hAnsi="Times New Roman" w:cs="Times New Roman"/>
          <w:color w:val="000000"/>
          <w:spacing w:val="-3"/>
          <w:sz w:val="28"/>
          <w:szCs w:val="28"/>
        </w:rPr>
        <w:t>В сборнике представлены материалы научно-практической конференции</w:t>
      </w:r>
      <w:r>
        <w:rPr>
          <w:rFonts w:ascii="Times New Roman" w:hAnsi="Times New Roman" w:cs="Times New Roman"/>
          <w:color w:val="000000"/>
          <w:spacing w:val="-3"/>
          <w:sz w:val="28"/>
          <w:szCs w:val="28"/>
        </w:rPr>
        <w:t xml:space="preserve"> (симпозиума)</w:t>
      </w:r>
      <w:r w:rsidRPr="007E7557">
        <w:rPr>
          <w:rFonts w:ascii="Times New Roman" w:hAnsi="Times New Roman" w:cs="Times New Roman"/>
          <w:color w:val="000000"/>
          <w:spacing w:val="-3"/>
          <w:sz w:val="28"/>
          <w:szCs w:val="28"/>
        </w:rPr>
        <w:t xml:space="preserve"> по </w:t>
      </w:r>
      <w:r>
        <w:rPr>
          <w:rFonts w:ascii="Times New Roman" w:hAnsi="Times New Roman" w:cs="Times New Roman"/>
          <w:color w:val="000000"/>
          <w:spacing w:val="-3"/>
          <w:sz w:val="28"/>
          <w:szCs w:val="28"/>
        </w:rPr>
        <w:t xml:space="preserve">актуальным проблемам, истории и современному состоянию </w:t>
      </w:r>
      <w:r w:rsidRPr="007E7557">
        <w:rPr>
          <w:rFonts w:ascii="Times New Roman" w:hAnsi="Times New Roman" w:cs="Times New Roman"/>
          <w:color w:val="000000"/>
          <w:spacing w:val="-3"/>
          <w:sz w:val="28"/>
          <w:szCs w:val="28"/>
        </w:rPr>
        <w:t xml:space="preserve">гражданского </w:t>
      </w:r>
      <w:r>
        <w:rPr>
          <w:rFonts w:ascii="Times New Roman" w:hAnsi="Times New Roman" w:cs="Times New Roman"/>
          <w:color w:val="000000"/>
          <w:spacing w:val="-3"/>
          <w:sz w:val="28"/>
          <w:szCs w:val="28"/>
        </w:rPr>
        <w:t>права</w:t>
      </w:r>
      <w:r w:rsidRPr="00A56A7D">
        <w:rPr>
          <w:rFonts w:ascii="Times New Roman" w:hAnsi="Times New Roman" w:cs="Times New Roman"/>
          <w:color w:val="000000"/>
          <w:spacing w:val="-3"/>
          <w:sz w:val="28"/>
          <w:szCs w:val="28"/>
        </w:rPr>
        <w:t xml:space="preserve">, подготовленные по материалам выступлений участников </w:t>
      </w:r>
      <w:r w:rsidR="00AA3758" w:rsidRPr="00AA3758">
        <w:rPr>
          <w:rFonts w:ascii="Times New Roman" w:hAnsi="Times New Roman" w:cs="Times New Roman"/>
          <w:color w:val="000000"/>
          <w:spacing w:val="-3"/>
          <w:sz w:val="28"/>
          <w:szCs w:val="28"/>
        </w:rPr>
        <w:t>V Национальной научно-практической конференции (симпозиума)</w:t>
      </w:r>
      <w:r w:rsidRPr="00AA3758">
        <w:rPr>
          <w:rFonts w:ascii="Times New Roman" w:hAnsi="Times New Roman" w:cs="Times New Roman"/>
          <w:color w:val="000000"/>
          <w:spacing w:val="-3"/>
          <w:sz w:val="28"/>
          <w:szCs w:val="28"/>
        </w:rPr>
        <w:t xml:space="preserve"> </w:t>
      </w:r>
      <w:r w:rsidRPr="00A56A7D">
        <w:rPr>
          <w:rFonts w:ascii="Times New Roman" w:hAnsi="Times New Roman" w:cs="Times New Roman"/>
          <w:color w:val="000000"/>
          <w:spacing w:val="-3"/>
          <w:sz w:val="28"/>
          <w:szCs w:val="28"/>
        </w:rPr>
        <w:t>«</w:t>
      </w:r>
      <w:r w:rsidR="00AA3758" w:rsidRPr="00AA3758">
        <w:rPr>
          <w:rFonts w:ascii="Times New Roman" w:hAnsi="Times New Roman" w:cs="Times New Roman"/>
          <w:color w:val="000000"/>
          <w:spacing w:val="-3"/>
          <w:sz w:val="28"/>
          <w:szCs w:val="28"/>
        </w:rPr>
        <w:t>Гражданское законодательство РФ: история и современное состояние, тенденции и перспективы развития</w:t>
      </w:r>
      <w:r w:rsidRPr="00A56A7D">
        <w:rPr>
          <w:rFonts w:ascii="Times New Roman" w:hAnsi="Times New Roman" w:cs="Times New Roman"/>
          <w:color w:val="000000"/>
          <w:spacing w:val="-3"/>
          <w:sz w:val="28"/>
          <w:szCs w:val="28"/>
        </w:rPr>
        <w:t>».</w:t>
      </w:r>
    </w:p>
    <w:bookmarkEnd w:id="0"/>
    <w:p w14:paraId="38F686E1" w14:textId="77777777" w:rsidR="002B2190" w:rsidRPr="008E7FBB" w:rsidRDefault="002B2190" w:rsidP="002B2190">
      <w:pPr>
        <w:tabs>
          <w:tab w:val="left" w:pos="1418"/>
        </w:tabs>
        <w:suppressAutoHyphens/>
        <w:spacing w:after="0" w:line="240" w:lineRule="auto"/>
        <w:ind w:left="709" w:firstLine="709"/>
        <w:jc w:val="both"/>
        <w:outlineLvl w:val="0"/>
        <w:rPr>
          <w:rFonts w:ascii="Times New Roman" w:hAnsi="Times New Roman" w:cs="Times New Roman"/>
          <w:sz w:val="28"/>
          <w:szCs w:val="32"/>
        </w:rPr>
      </w:pPr>
      <w:r>
        <w:rPr>
          <w:rFonts w:ascii="Times New Roman" w:hAnsi="Times New Roman" w:cs="Times New Roman"/>
          <w:sz w:val="28"/>
          <w:szCs w:val="32"/>
        </w:rPr>
        <w:t xml:space="preserve">Для бакалавров, </w:t>
      </w:r>
      <w:r w:rsidRPr="008E7FBB">
        <w:rPr>
          <w:rFonts w:ascii="Times New Roman" w:hAnsi="Times New Roman" w:cs="Times New Roman"/>
          <w:sz w:val="28"/>
          <w:szCs w:val="32"/>
        </w:rPr>
        <w:t>магистрантов, аспирантов, преподавателей, научных и практических работников, интересующихся проблемами развития гражданского законодательства РФ.</w:t>
      </w:r>
    </w:p>
    <w:p w14:paraId="64A12726" w14:textId="77777777" w:rsidR="002B2190" w:rsidRDefault="002B2190" w:rsidP="002B2190">
      <w:pPr>
        <w:shd w:val="clear" w:color="auto" w:fill="FFFFFF"/>
        <w:spacing w:after="0" w:line="240" w:lineRule="auto"/>
        <w:jc w:val="right"/>
        <w:rPr>
          <w:rFonts w:ascii="Times New Roman" w:hAnsi="Times New Roman" w:cs="Times New Roman"/>
          <w:b/>
          <w:bCs/>
          <w:sz w:val="32"/>
          <w:szCs w:val="32"/>
        </w:rPr>
      </w:pPr>
    </w:p>
    <w:p w14:paraId="1567CC9A" w14:textId="77777777" w:rsidR="002B2190" w:rsidRDefault="002B2190" w:rsidP="002B2190">
      <w:pPr>
        <w:shd w:val="clear" w:color="auto" w:fill="FFFFFF"/>
        <w:spacing w:after="0" w:line="240" w:lineRule="auto"/>
        <w:jc w:val="right"/>
        <w:rPr>
          <w:rFonts w:ascii="Times New Roman" w:hAnsi="Times New Roman" w:cs="Times New Roman"/>
          <w:b/>
          <w:bCs/>
          <w:sz w:val="32"/>
          <w:szCs w:val="32"/>
        </w:rPr>
      </w:pPr>
    </w:p>
    <w:p w14:paraId="4A20E3B8" w14:textId="77777777" w:rsidR="002B2190" w:rsidRDefault="002B2190" w:rsidP="002B2190">
      <w:pPr>
        <w:shd w:val="clear" w:color="auto" w:fill="FFFFFF"/>
        <w:spacing w:after="0" w:line="240" w:lineRule="auto"/>
        <w:jc w:val="right"/>
        <w:rPr>
          <w:rFonts w:ascii="Times New Roman" w:hAnsi="Times New Roman" w:cs="Times New Roman"/>
          <w:b/>
          <w:bCs/>
          <w:sz w:val="32"/>
          <w:szCs w:val="32"/>
        </w:rPr>
      </w:pPr>
    </w:p>
    <w:p w14:paraId="6ACCF763" w14:textId="77777777" w:rsidR="002B2190" w:rsidRPr="00F229DB" w:rsidRDefault="002B2190" w:rsidP="002B2190">
      <w:pPr>
        <w:shd w:val="clear" w:color="auto" w:fill="FFFFFF"/>
        <w:spacing w:after="0" w:line="240" w:lineRule="auto"/>
        <w:jc w:val="right"/>
        <w:rPr>
          <w:rFonts w:ascii="Times New Roman" w:hAnsi="Times New Roman" w:cs="Times New Roman"/>
          <w:b/>
          <w:bCs/>
          <w:sz w:val="32"/>
          <w:szCs w:val="32"/>
        </w:rPr>
      </w:pPr>
      <w:r w:rsidRPr="00F229DB">
        <w:rPr>
          <w:rFonts w:ascii="Times New Roman" w:hAnsi="Times New Roman" w:cs="Times New Roman"/>
          <w:b/>
          <w:bCs/>
          <w:sz w:val="32"/>
          <w:szCs w:val="32"/>
        </w:rPr>
        <w:t>УДК</w:t>
      </w:r>
      <w:r w:rsidRPr="00F229DB">
        <w:rPr>
          <w:rFonts w:ascii="Times New Roman" w:hAnsi="Times New Roman" w:cs="Times New Roman"/>
          <w:b/>
          <w:bCs/>
          <w:sz w:val="32"/>
          <w:szCs w:val="32"/>
        </w:rPr>
        <w:tab/>
        <w:t xml:space="preserve">  </w:t>
      </w:r>
      <w:r w:rsidRPr="00F229DB">
        <w:rPr>
          <w:rStyle w:val="12"/>
          <w:rFonts w:ascii="Times New Roman" w:hAnsi="Times New Roman"/>
          <w:b/>
          <w:sz w:val="32"/>
          <w:szCs w:val="32"/>
        </w:rPr>
        <w:t>347</w:t>
      </w:r>
    </w:p>
    <w:p w14:paraId="543B803C" w14:textId="77777777" w:rsidR="002B2190" w:rsidRPr="00F229DB" w:rsidRDefault="002B2190" w:rsidP="002B2190">
      <w:pPr>
        <w:shd w:val="clear" w:color="auto" w:fill="FFFFFF"/>
        <w:spacing w:after="0" w:line="240" w:lineRule="auto"/>
        <w:jc w:val="right"/>
        <w:rPr>
          <w:rFonts w:ascii="Times New Roman" w:hAnsi="Times New Roman" w:cs="Times New Roman"/>
          <w:b/>
          <w:bCs/>
          <w:sz w:val="32"/>
          <w:szCs w:val="32"/>
        </w:rPr>
      </w:pPr>
      <w:r w:rsidRPr="00F229DB">
        <w:rPr>
          <w:rFonts w:ascii="Times New Roman" w:hAnsi="Times New Roman" w:cs="Times New Roman"/>
          <w:b/>
          <w:bCs/>
          <w:sz w:val="32"/>
          <w:szCs w:val="32"/>
        </w:rPr>
        <w:t>ББК</w:t>
      </w:r>
      <w:r w:rsidRPr="00F229DB">
        <w:rPr>
          <w:rFonts w:ascii="Times New Roman" w:hAnsi="Times New Roman" w:cs="Times New Roman"/>
          <w:b/>
          <w:bCs/>
          <w:sz w:val="32"/>
          <w:szCs w:val="32"/>
        </w:rPr>
        <w:tab/>
        <w:t xml:space="preserve"> </w:t>
      </w:r>
      <w:r w:rsidRPr="00F229DB">
        <w:rPr>
          <w:rStyle w:val="12"/>
          <w:rFonts w:ascii="Times New Roman" w:hAnsi="Times New Roman"/>
          <w:b/>
          <w:sz w:val="32"/>
          <w:szCs w:val="32"/>
        </w:rPr>
        <w:t>67.404</w:t>
      </w:r>
    </w:p>
    <w:p w14:paraId="09B34D99" w14:textId="77777777" w:rsidR="002B2190" w:rsidRPr="00405C1E" w:rsidRDefault="002B2190" w:rsidP="002B2190">
      <w:pPr>
        <w:shd w:val="clear" w:color="auto" w:fill="FFFFFF"/>
        <w:spacing w:after="0" w:line="240" w:lineRule="auto"/>
        <w:jc w:val="right"/>
        <w:rPr>
          <w:rFonts w:ascii="Times New Roman" w:hAnsi="Times New Roman" w:cs="Times New Roman"/>
          <w:b/>
          <w:bCs/>
          <w:sz w:val="32"/>
          <w:szCs w:val="32"/>
        </w:rPr>
      </w:pPr>
    </w:p>
    <w:p w14:paraId="3EB4AB37" w14:textId="77777777" w:rsidR="002B2190" w:rsidRDefault="002B2190" w:rsidP="002B2190">
      <w:pPr>
        <w:shd w:val="clear" w:color="auto" w:fill="FFFFFF"/>
        <w:spacing w:after="0" w:line="240" w:lineRule="auto"/>
        <w:jc w:val="right"/>
        <w:rPr>
          <w:rFonts w:ascii="Times New Roman" w:hAnsi="Times New Roman" w:cs="Times New Roman"/>
          <w:b/>
          <w:bCs/>
          <w:sz w:val="32"/>
          <w:szCs w:val="32"/>
        </w:rPr>
      </w:pPr>
    </w:p>
    <w:p w14:paraId="34194582" w14:textId="77777777" w:rsidR="002B2190" w:rsidRPr="009F4080" w:rsidRDefault="002B2190" w:rsidP="002B2190">
      <w:pPr>
        <w:shd w:val="clear" w:color="auto" w:fill="FFFFFF"/>
        <w:spacing w:after="0" w:line="240" w:lineRule="auto"/>
        <w:jc w:val="right"/>
        <w:rPr>
          <w:rFonts w:ascii="Times New Roman" w:hAnsi="Times New Roman" w:cs="Times New Roman"/>
          <w:b/>
          <w:bCs/>
          <w:sz w:val="32"/>
          <w:szCs w:val="32"/>
        </w:rPr>
      </w:pPr>
    </w:p>
    <w:tbl>
      <w:tblPr>
        <w:tblW w:w="8486" w:type="dxa"/>
        <w:tblInd w:w="1120" w:type="dxa"/>
        <w:tblLook w:val="00A0" w:firstRow="1" w:lastRow="0" w:firstColumn="1" w:lastColumn="0" w:noHBand="0" w:noVBand="0"/>
      </w:tblPr>
      <w:tblGrid>
        <w:gridCol w:w="3848"/>
        <w:gridCol w:w="4638"/>
      </w:tblGrid>
      <w:tr w:rsidR="002B2190" w:rsidRPr="00C51ED8" w14:paraId="1B02C572" w14:textId="77777777" w:rsidTr="00457499">
        <w:trPr>
          <w:trHeight w:val="377"/>
        </w:trPr>
        <w:tc>
          <w:tcPr>
            <w:tcW w:w="3848" w:type="dxa"/>
          </w:tcPr>
          <w:p w14:paraId="488C4E9D" w14:textId="77777777" w:rsidR="002B2190" w:rsidRPr="00526E6E" w:rsidRDefault="002B2190" w:rsidP="00457499">
            <w:pPr>
              <w:spacing w:after="0" w:line="240" w:lineRule="auto"/>
              <w:jc w:val="both"/>
              <w:rPr>
                <w:rFonts w:ascii="Times New Roman" w:hAnsi="Times New Roman" w:cs="Times New Roman"/>
                <w:b/>
                <w:sz w:val="32"/>
                <w:szCs w:val="32"/>
              </w:rPr>
            </w:pPr>
          </w:p>
        </w:tc>
        <w:tc>
          <w:tcPr>
            <w:tcW w:w="4638" w:type="dxa"/>
          </w:tcPr>
          <w:p w14:paraId="49B0B454" w14:textId="1E6A469B" w:rsidR="002B2190" w:rsidRPr="00526E6E" w:rsidRDefault="002B2190" w:rsidP="00457499">
            <w:pPr>
              <w:spacing w:after="0" w:line="240" w:lineRule="auto"/>
              <w:ind w:left="844"/>
              <w:jc w:val="both"/>
              <w:rPr>
                <w:rFonts w:ascii="Times New Roman" w:hAnsi="Times New Roman" w:cs="Times New Roman"/>
                <w:sz w:val="28"/>
                <w:szCs w:val="28"/>
              </w:rPr>
            </w:pPr>
            <w:r>
              <w:rPr>
                <w:rFonts w:ascii="Times New Roman" w:hAnsi="Times New Roman" w:cs="Times New Roman"/>
                <w:sz w:val="28"/>
                <w:szCs w:val="28"/>
              </w:rPr>
              <w:t>© Коллектив авторов, 20</w:t>
            </w:r>
            <w:r w:rsidR="00AA3758">
              <w:rPr>
                <w:rFonts w:ascii="Times New Roman" w:hAnsi="Times New Roman" w:cs="Times New Roman"/>
                <w:sz w:val="28"/>
                <w:szCs w:val="28"/>
              </w:rPr>
              <w:t>20</w:t>
            </w:r>
            <w:r w:rsidRPr="00526E6E">
              <w:rPr>
                <w:rFonts w:ascii="Times New Roman" w:hAnsi="Times New Roman" w:cs="Times New Roman"/>
                <w:sz w:val="28"/>
                <w:szCs w:val="28"/>
              </w:rPr>
              <w:t>.</w:t>
            </w:r>
          </w:p>
        </w:tc>
      </w:tr>
      <w:tr w:rsidR="002B2190" w:rsidRPr="00C51ED8" w14:paraId="4DD12107" w14:textId="77777777" w:rsidTr="00457499">
        <w:trPr>
          <w:trHeight w:val="1053"/>
        </w:trPr>
        <w:tc>
          <w:tcPr>
            <w:tcW w:w="3848" w:type="dxa"/>
          </w:tcPr>
          <w:p w14:paraId="545D7277" w14:textId="77777777" w:rsidR="002B2190" w:rsidRPr="00526E6E" w:rsidRDefault="002B2190" w:rsidP="00457499">
            <w:pPr>
              <w:spacing w:after="0" w:line="240" w:lineRule="auto"/>
              <w:jc w:val="both"/>
              <w:rPr>
                <w:rFonts w:ascii="Times New Roman" w:hAnsi="Times New Roman" w:cs="Times New Roman"/>
                <w:b/>
                <w:sz w:val="32"/>
                <w:szCs w:val="32"/>
              </w:rPr>
            </w:pPr>
          </w:p>
        </w:tc>
        <w:tc>
          <w:tcPr>
            <w:tcW w:w="4638" w:type="dxa"/>
          </w:tcPr>
          <w:p w14:paraId="1FFD2715" w14:textId="65B442B9" w:rsidR="002B2190" w:rsidRPr="00526E6E" w:rsidRDefault="002B2190" w:rsidP="00457499">
            <w:pPr>
              <w:spacing w:after="0" w:line="240" w:lineRule="auto"/>
              <w:ind w:left="844"/>
              <w:jc w:val="both"/>
              <w:rPr>
                <w:rFonts w:ascii="Times New Roman" w:hAnsi="Times New Roman" w:cs="Times New Roman"/>
                <w:sz w:val="28"/>
                <w:szCs w:val="28"/>
              </w:rPr>
            </w:pPr>
            <w:r>
              <w:rPr>
                <w:rFonts w:ascii="Times New Roman" w:hAnsi="Times New Roman" w:cs="Times New Roman"/>
                <w:sz w:val="28"/>
                <w:szCs w:val="28"/>
              </w:rPr>
              <w:t>© АНО «НИИ АПСП», 20</w:t>
            </w:r>
            <w:r w:rsidR="00AA3758">
              <w:rPr>
                <w:rFonts w:ascii="Times New Roman" w:hAnsi="Times New Roman" w:cs="Times New Roman"/>
                <w:sz w:val="28"/>
                <w:szCs w:val="28"/>
              </w:rPr>
              <w:t>20</w:t>
            </w:r>
            <w:r w:rsidRPr="00526E6E">
              <w:rPr>
                <w:rFonts w:ascii="Times New Roman" w:hAnsi="Times New Roman" w:cs="Times New Roman"/>
                <w:sz w:val="28"/>
                <w:szCs w:val="28"/>
              </w:rPr>
              <w:t>.</w:t>
            </w:r>
          </w:p>
        </w:tc>
      </w:tr>
    </w:tbl>
    <w:p w14:paraId="6AECDF8F" w14:textId="77777777" w:rsidR="002B2190" w:rsidRPr="00405C1E" w:rsidRDefault="002B2190" w:rsidP="002B2190">
      <w:pPr>
        <w:rPr>
          <w:rStyle w:val="12"/>
          <w:rFonts w:ascii="Times New Roman" w:hAnsi="Times New Roman"/>
          <w:b/>
          <w:sz w:val="28"/>
          <w:szCs w:val="28"/>
        </w:rPr>
      </w:pPr>
      <w:r w:rsidRPr="0098610B">
        <w:rPr>
          <w:rStyle w:val="12"/>
          <w:rFonts w:ascii="Times New Roman" w:hAnsi="Times New Roman"/>
          <w:b/>
          <w:sz w:val="28"/>
          <w:szCs w:val="28"/>
          <w:lang w:val="en-US"/>
        </w:rPr>
        <w:t>ISBN</w:t>
      </w:r>
      <w:r w:rsidRPr="0098610B">
        <w:rPr>
          <w:rStyle w:val="12"/>
          <w:rFonts w:ascii="Times New Roman" w:hAnsi="Times New Roman"/>
          <w:b/>
          <w:sz w:val="28"/>
          <w:szCs w:val="28"/>
        </w:rPr>
        <w:t xml:space="preserve"> </w:t>
      </w:r>
      <w:r w:rsidRPr="0098610B">
        <w:rPr>
          <w:rFonts w:ascii="Times New Roman" w:hAnsi="Times New Roman" w:cs="Times New Roman"/>
          <w:b/>
          <w:i/>
          <w:sz w:val="28"/>
          <w:szCs w:val="28"/>
          <w:shd w:val="clear" w:color="auto" w:fill="FFFFFF"/>
        </w:rPr>
        <w:t>978-5-9908315-8-2</w:t>
      </w:r>
      <w:r>
        <w:rPr>
          <w:rFonts w:ascii="Times New Roman" w:hAnsi="Times New Roman" w:cs="Times New Roman"/>
          <w:b/>
          <w:i/>
          <w:sz w:val="28"/>
          <w:szCs w:val="28"/>
          <w:shd w:val="clear" w:color="auto" w:fill="FFFFFF"/>
        </w:rPr>
        <w:t xml:space="preserve"> </w:t>
      </w:r>
    </w:p>
    <w:p w14:paraId="768EF2A1" w14:textId="77777777" w:rsidR="00AA3758" w:rsidRDefault="00AA3758" w:rsidP="002B2190">
      <w:pPr>
        <w:spacing w:after="0" w:line="240" w:lineRule="auto"/>
        <w:jc w:val="center"/>
        <w:rPr>
          <w:rFonts w:ascii="Times New Roman" w:hAnsi="Times New Roman" w:cs="Times New Roman"/>
          <w:b/>
          <w:sz w:val="28"/>
          <w:szCs w:val="28"/>
        </w:rPr>
      </w:pPr>
    </w:p>
    <w:p w14:paraId="703ADF2C" w14:textId="77777777" w:rsidR="00E91627" w:rsidRDefault="00E91627" w:rsidP="002B2190">
      <w:pPr>
        <w:spacing w:after="0" w:line="240" w:lineRule="auto"/>
        <w:jc w:val="center"/>
        <w:rPr>
          <w:rFonts w:ascii="Times New Roman" w:hAnsi="Times New Roman" w:cs="Times New Roman"/>
          <w:b/>
          <w:sz w:val="28"/>
          <w:szCs w:val="28"/>
        </w:rPr>
      </w:pPr>
    </w:p>
    <w:p w14:paraId="4CB2F3CF" w14:textId="77777777" w:rsidR="00E91627" w:rsidRDefault="00E91627" w:rsidP="002B2190">
      <w:pPr>
        <w:spacing w:after="0" w:line="240" w:lineRule="auto"/>
        <w:jc w:val="center"/>
        <w:rPr>
          <w:rFonts w:ascii="Times New Roman" w:hAnsi="Times New Roman" w:cs="Times New Roman"/>
          <w:b/>
          <w:sz w:val="28"/>
          <w:szCs w:val="28"/>
        </w:rPr>
      </w:pPr>
    </w:p>
    <w:p w14:paraId="41EC2381" w14:textId="77777777" w:rsidR="00E91627" w:rsidRPr="00E42D0F" w:rsidRDefault="00E91627" w:rsidP="00E91627">
      <w:pPr>
        <w:spacing w:after="0" w:line="240" w:lineRule="auto"/>
        <w:jc w:val="center"/>
        <w:rPr>
          <w:rFonts w:ascii="Times New Roman" w:hAnsi="Times New Roman" w:cs="Times New Roman"/>
          <w:b/>
          <w:sz w:val="28"/>
          <w:szCs w:val="28"/>
        </w:rPr>
      </w:pPr>
      <w:r w:rsidRPr="00E42D0F">
        <w:rPr>
          <w:rFonts w:ascii="Times New Roman" w:hAnsi="Times New Roman" w:cs="Times New Roman"/>
          <w:b/>
          <w:sz w:val="28"/>
          <w:szCs w:val="28"/>
        </w:rPr>
        <w:lastRenderedPageBreak/>
        <w:t>С О Д Е Р Ж А Н И Е</w:t>
      </w:r>
    </w:p>
    <w:p w14:paraId="1B1AEE9F" w14:textId="77777777" w:rsidR="00E91627" w:rsidRPr="00E42D0F" w:rsidRDefault="00E91627" w:rsidP="00E91627">
      <w:pPr>
        <w:spacing w:after="0" w:line="240" w:lineRule="auto"/>
        <w:jc w:val="both"/>
        <w:rPr>
          <w:rFonts w:ascii="Times New Roman" w:hAnsi="Times New Roman" w:cs="Times New Roman"/>
          <w:b/>
          <w:sz w:val="24"/>
          <w:szCs w:val="24"/>
        </w:rPr>
      </w:pPr>
    </w:p>
    <w:p w14:paraId="73410CAB"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
          <w:bCs/>
          <w:spacing w:val="6"/>
          <w:sz w:val="24"/>
          <w:szCs w:val="24"/>
        </w:rPr>
      </w:pPr>
      <w:r w:rsidRPr="00E42D0F">
        <w:rPr>
          <w:rFonts w:ascii="Times New Roman" w:hAnsi="Times New Roman" w:cs="Times New Roman"/>
          <w:b/>
          <w:bCs/>
          <w:spacing w:val="6"/>
          <w:sz w:val="24"/>
          <w:szCs w:val="24"/>
        </w:rPr>
        <w:t xml:space="preserve">Аксариди Парфена Николаевна </w:t>
      </w:r>
      <w:r w:rsidRPr="00E42D0F">
        <w:rPr>
          <w:rFonts w:ascii="Times New Roman" w:hAnsi="Times New Roman" w:cs="Times New Roman"/>
          <w:bCs/>
          <w:spacing w:val="6"/>
          <w:sz w:val="24"/>
          <w:szCs w:val="24"/>
        </w:rPr>
        <w:t>ПРИНЦИП ДИСПОЗИТИВНОСТИ И ПРОЦЕССУАЛЬНАЯ АКТИВНОСТЬ СУДА: СОЧЕТАНИЕ В АДМИНИСТРАТИВНОМ СУДОПРОИЗВОДСТВЕ</w:t>
      </w:r>
      <w:r w:rsidRPr="00E42D0F">
        <w:rPr>
          <w:rFonts w:ascii="Times New Roman" w:hAnsi="Times New Roman" w:cs="Times New Roman"/>
          <w:spacing w:val="6"/>
          <w:sz w:val="24"/>
          <w:szCs w:val="24"/>
        </w:rPr>
        <w:t xml:space="preserve"> </w:t>
      </w:r>
      <w:r w:rsidRPr="00E42D0F">
        <w:rPr>
          <w:rFonts w:ascii="Times New Roman" w:hAnsi="Times New Roman" w:cs="Times New Roman"/>
          <w:spacing w:val="6"/>
          <w:sz w:val="24"/>
          <w:szCs w:val="24"/>
        </w:rPr>
        <w:tab/>
        <w:t>7</w:t>
      </w:r>
    </w:p>
    <w:p w14:paraId="21900431"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
          <w:bCs/>
          <w:spacing w:val="6"/>
          <w:sz w:val="24"/>
          <w:szCs w:val="24"/>
        </w:rPr>
      </w:pPr>
      <w:r w:rsidRPr="00E42D0F">
        <w:rPr>
          <w:rFonts w:ascii="Times New Roman" w:hAnsi="Times New Roman" w:cs="Times New Roman"/>
          <w:b/>
          <w:bCs/>
          <w:spacing w:val="6"/>
          <w:sz w:val="24"/>
          <w:szCs w:val="24"/>
        </w:rPr>
        <w:t xml:space="preserve">Аксенова Диана Сергеевна </w:t>
      </w:r>
      <w:r w:rsidRPr="00E42D0F">
        <w:rPr>
          <w:rFonts w:ascii="Times New Roman" w:hAnsi="Times New Roman" w:cs="Times New Roman"/>
          <w:bCs/>
          <w:spacing w:val="6"/>
          <w:sz w:val="24"/>
          <w:szCs w:val="24"/>
        </w:rPr>
        <w:t>ПОНЯТИЕ НЕМАТЕРИАЛЬНЫХ БЛАГ И ИХ ОСОБЕННОСТИ</w:t>
      </w:r>
      <w:r w:rsidRPr="00E42D0F">
        <w:rPr>
          <w:rFonts w:ascii="Times New Roman" w:hAnsi="Times New Roman" w:cs="Times New Roman"/>
          <w:bCs/>
          <w:spacing w:val="6"/>
          <w:sz w:val="24"/>
          <w:szCs w:val="24"/>
        </w:rPr>
        <w:tab/>
        <w:t>12</w:t>
      </w:r>
    </w:p>
    <w:p w14:paraId="2CFDA03F"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
          <w:bCs/>
          <w:spacing w:val="6"/>
          <w:sz w:val="24"/>
          <w:szCs w:val="24"/>
        </w:rPr>
      </w:pPr>
      <w:r w:rsidRPr="00E42D0F">
        <w:rPr>
          <w:rFonts w:ascii="Times New Roman" w:hAnsi="Times New Roman" w:cs="Times New Roman"/>
          <w:b/>
          <w:bCs/>
          <w:spacing w:val="6"/>
          <w:sz w:val="24"/>
          <w:szCs w:val="24"/>
        </w:rPr>
        <w:t xml:space="preserve">Алиев Руфат Рафаэлович </w:t>
      </w:r>
      <w:r w:rsidRPr="00E42D0F">
        <w:rPr>
          <w:rFonts w:ascii="Times New Roman" w:hAnsi="Times New Roman" w:cs="Times New Roman"/>
          <w:bCs/>
          <w:spacing w:val="6"/>
          <w:sz w:val="24"/>
          <w:szCs w:val="24"/>
        </w:rPr>
        <w:t>ИСКОВАЯ ДАВНОСТЬ КАК ОДИН ИЗ ВИДОВ ДАВНОСТИ</w:t>
      </w:r>
      <w:r w:rsidRPr="00E42D0F">
        <w:rPr>
          <w:rFonts w:ascii="Times New Roman" w:hAnsi="Times New Roman" w:cs="Times New Roman"/>
          <w:b/>
          <w:bCs/>
          <w:spacing w:val="6"/>
          <w:sz w:val="24"/>
          <w:szCs w:val="24"/>
        </w:rPr>
        <w:t xml:space="preserve"> </w:t>
      </w:r>
      <w:r w:rsidRPr="00E42D0F">
        <w:rPr>
          <w:rFonts w:ascii="Times New Roman" w:hAnsi="Times New Roman" w:cs="Times New Roman"/>
          <w:spacing w:val="6"/>
          <w:sz w:val="24"/>
          <w:szCs w:val="24"/>
        </w:rPr>
        <w:tab/>
        <w:t>18</w:t>
      </w:r>
    </w:p>
    <w:p w14:paraId="18F95F90"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Cs/>
          <w:spacing w:val="6"/>
          <w:sz w:val="24"/>
          <w:szCs w:val="24"/>
        </w:rPr>
      </w:pPr>
      <w:r w:rsidRPr="00E42D0F">
        <w:rPr>
          <w:rFonts w:ascii="Times New Roman" w:hAnsi="Times New Roman" w:cs="Times New Roman"/>
          <w:b/>
          <w:bCs/>
          <w:spacing w:val="6"/>
          <w:sz w:val="24"/>
          <w:szCs w:val="24"/>
        </w:rPr>
        <w:t xml:space="preserve">Анисочкина Дарья Алексеевна </w:t>
      </w:r>
      <w:r w:rsidRPr="00E42D0F">
        <w:rPr>
          <w:rFonts w:ascii="Times New Roman" w:hAnsi="Times New Roman" w:cs="Times New Roman"/>
          <w:bCs/>
          <w:spacing w:val="6"/>
          <w:sz w:val="24"/>
          <w:szCs w:val="24"/>
        </w:rPr>
        <w:t>О СУЩНОСТИ КАТЕГОРИИ «СОСЕДСКОЕ ПРАВО» ……………………………………………………………………………………………………22</w:t>
      </w:r>
    </w:p>
    <w:p w14:paraId="31D3E683" w14:textId="77777777" w:rsidR="00E91627" w:rsidRPr="00E42D0F" w:rsidRDefault="00E91627" w:rsidP="00E91627">
      <w:pPr>
        <w:pStyle w:val="ConsPlusNormal"/>
        <w:jc w:val="both"/>
        <w:rPr>
          <w:lang w:val="ru-RU" w:eastAsia="en-US"/>
        </w:rPr>
      </w:pPr>
      <w:r w:rsidRPr="00E42D0F">
        <w:rPr>
          <w:b/>
          <w:lang w:val="ru-RU"/>
        </w:rPr>
        <w:t xml:space="preserve">Багаденко Мария Олеговна </w:t>
      </w:r>
      <w:r w:rsidRPr="00E42D0F">
        <w:rPr>
          <w:lang w:val="ru-RU" w:eastAsia="en-US"/>
        </w:rPr>
        <w:t>ЛИЦЕНЗИЯ КАК ПРАВОВОЕ ОСНОВАНИЕ ДЕЯТЕЛЬНОСТИ ПО УПРАВЛЕНИЮ МНОГОКВАРТИРНЫМИ ДОМАМИ …………25</w:t>
      </w:r>
    </w:p>
    <w:p w14:paraId="293F0935" w14:textId="77777777" w:rsidR="00E91627" w:rsidRPr="00E42D0F" w:rsidRDefault="00E91627" w:rsidP="00E91627">
      <w:pPr>
        <w:rPr>
          <w:rFonts w:ascii="Times New Roman" w:hAnsi="Times New Roman" w:cs="Times New Roman"/>
          <w:b/>
        </w:rPr>
      </w:pPr>
    </w:p>
    <w:p w14:paraId="7250F305"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
          <w:bCs/>
          <w:spacing w:val="6"/>
          <w:sz w:val="24"/>
          <w:szCs w:val="24"/>
        </w:rPr>
      </w:pPr>
      <w:r w:rsidRPr="00E42D0F">
        <w:rPr>
          <w:rFonts w:ascii="Times New Roman" w:hAnsi="Times New Roman" w:cs="Times New Roman"/>
          <w:b/>
          <w:bCs/>
          <w:spacing w:val="6"/>
          <w:sz w:val="24"/>
          <w:szCs w:val="24"/>
        </w:rPr>
        <w:t xml:space="preserve">Багирова Эльмира Рафиковна </w:t>
      </w:r>
      <w:r w:rsidRPr="00E42D0F">
        <w:rPr>
          <w:rFonts w:ascii="Times New Roman" w:hAnsi="Times New Roman" w:cs="Times New Roman"/>
          <w:bCs/>
          <w:spacing w:val="6"/>
          <w:sz w:val="24"/>
          <w:szCs w:val="24"/>
        </w:rPr>
        <w:t>ПУБЛИЧНОПРАВОВЫЕ ОБРАЗОВАНИЯ КАК УЧАСТНИКИ ГРАЖДАНСКИХ ПРАВООТНОШЕНИЙ</w:t>
      </w:r>
      <w:r w:rsidRPr="00E42D0F">
        <w:rPr>
          <w:rFonts w:ascii="Times New Roman" w:hAnsi="Times New Roman" w:cs="Times New Roman"/>
          <w:spacing w:val="6"/>
          <w:sz w:val="24"/>
          <w:szCs w:val="24"/>
        </w:rPr>
        <w:tab/>
        <w:t>28</w:t>
      </w:r>
    </w:p>
    <w:p w14:paraId="2687EC92"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
          <w:bCs/>
          <w:spacing w:val="6"/>
          <w:sz w:val="24"/>
          <w:szCs w:val="24"/>
        </w:rPr>
      </w:pPr>
      <w:r w:rsidRPr="00E42D0F">
        <w:rPr>
          <w:rFonts w:ascii="Times New Roman" w:hAnsi="Times New Roman" w:cs="Times New Roman"/>
          <w:b/>
          <w:bCs/>
          <w:spacing w:val="6"/>
          <w:sz w:val="24"/>
          <w:szCs w:val="24"/>
        </w:rPr>
        <w:t xml:space="preserve">Бакин Сергей Эдуардович </w:t>
      </w:r>
      <w:r w:rsidRPr="00E42D0F">
        <w:rPr>
          <w:rFonts w:ascii="Times New Roman" w:hAnsi="Times New Roman" w:cs="Times New Roman"/>
          <w:bCs/>
          <w:spacing w:val="6"/>
          <w:sz w:val="24"/>
          <w:szCs w:val="24"/>
        </w:rPr>
        <w:t>ГЕНЕЗИС ИНСТИТУТА ПРЕДВАРИТЕЛЬНОГО ДОГОВОРА В ОТЕЧЕСТВЕННОМ ГРАЖДАНСКОМ ПРАВЕ</w:t>
      </w:r>
      <w:r w:rsidRPr="00E42D0F">
        <w:rPr>
          <w:rFonts w:ascii="Times New Roman" w:hAnsi="Times New Roman" w:cs="Times New Roman"/>
          <w:bCs/>
          <w:spacing w:val="6"/>
          <w:sz w:val="24"/>
          <w:szCs w:val="24"/>
        </w:rPr>
        <w:tab/>
      </w:r>
      <w:r w:rsidRPr="00E42D0F">
        <w:rPr>
          <w:rFonts w:ascii="Times New Roman" w:hAnsi="Times New Roman" w:cs="Times New Roman"/>
          <w:spacing w:val="6"/>
          <w:sz w:val="24"/>
          <w:szCs w:val="24"/>
        </w:rPr>
        <w:t>32</w:t>
      </w:r>
    </w:p>
    <w:p w14:paraId="478B6A4A"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
          <w:bCs/>
          <w:spacing w:val="6"/>
          <w:sz w:val="24"/>
          <w:szCs w:val="24"/>
        </w:rPr>
      </w:pPr>
      <w:r w:rsidRPr="00E42D0F">
        <w:rPr>
          <w:rFonts w:ascii="Times New Roman" w:hAnsi="Times New Roman" w:cs="Times New Roman"/>
          <w:b/>
          <w:bCs/>
          <w:spacing w:val="6"/>
          <w:sz w:val="24"/>
          <w:szCs w:val="24"/>
        </w:rPr>
        <w:t xml:space="preserve">Булава Максим Павлович </w:t>
      </w:r>
      <w:r w:rsidRPr="00E42D0F">
        <w:rPr>
          <w:rFonts w:ascii="Times New Roman" w:hAnsi="Times New Roman" w:cs="Times New Roman"/>
          <w:bCs/>
          <w:spacing w:val="6"/>
          <w:sz w:val="24"/>
          <w:szCs w:val="24"/>
        </w:rPr>
        <w:t xml:space="preserve">КОНФЕРЕНЦИЯ АДВОКАТОВ КАК ВЫСШИЙ ОРГАН УПРАВЛЕНИЯ АДВОКАТСКОЙ ПАЛАТОЙ СУБЪЕКТА РОССИЙСКОЙ ФЕДЕРАЦИИ </w:t>
      </w:r>
      <w:r w:rsidRPr="00E42D0F">
        <w:rPr>
          <w:rFonts w:ascii="Times New Roman" w:hAnsi="Times New Roman" w:cs="Times New Roman"/>
          <w:bCs/>
          <w:spacing w:val="6"/>
          <w:sz w:val="24"/>
          <w:szCs w:val="24"/>
        </w:rPr>
        <w:tab/>
        <w:t>37</w:t>
      </w:r>
    </w:p>
    <w:p w14:paraId="4A797D23"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
          <w:bCs/>
          <w:spacing w:val="6"/>
          <w:sz w:val="24"/>
          <w:szCs w:val="24"/>
        </w:rPr>
      </w:pPr>
      <w:r w:rsidRPr="00E42D0F">
        <w:rPr>
          <w:rFonts w:ascii="Times New Roman" w:hAnsi="Times New Roman" w:cs="Times New Roman"/>
          <w:b/>
          <w:bCs/>
          <w:spacing w:val="6"/>
          <w:sz w:val="24"/>
          <w:szCs w:val="24"/>
        </w:rPr>
        <w:t xml:space="preserve">Бурнашкин Владислав Александрович </w:t>
      </w:r>
      <w:r w:rsidRPr="00E42D0F">
        <w:rPr>
          <w:rFonts w:ascii="Times New Roman" w:hAnsi="Times New Roman" w:cs="Times New Roman"/>
          <w:bCs/>
          <w:spacing w:val="6"/>
          <w:sz w:val="24"/>
          <w:szCs w:val="24"/>
        </w:rPr>
        <w:t>ОСОБЕННОСТИ КУПЛИ-ПРОДАЖИ ЗЕМЕЛЬНЫХ УЧАСТКОВ СЕЛЬСКОХОЗЯЙСТВЕННОГО НАЗНАЧЕНИЯ</w:t>
      </w:r>
      <w:r w:rsidRPr="00E42D0F">
        <w:rPr>
          <w:rFonts w:ascii="Times New Roman" w:hAnsi="Times New Roman" w:cs="Times New Roman"/>
          <w:bCs/>
          <w:spacing w:val="6"/>
          <w:sz w:val="24"/>
          <w:szCs w:val="24"/>
        </w:rPr>
        <w:tab/>
        <w:t xml:space="preserve"> 43</w:t>
      </w:r>
    </w:p>
    <w:p w14:paraId="31C282E7"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
          <w:bCs/>
          <w:spacing w:val="6"/>
          <w:sz w:val="24"/>
          <w:szCs w:val="24"/>
        </w:rPr>
      </w:pPr>
      <w:r w:rsidRPr="00E42D0F">
        <w:rPr>
          <w:rFonts w:ascii="Times New Roman" w:hAnsi="Times New Roman" w:cs="Times New Roman"/>
          <w:b/>
          <w:bCs/>
          <w:spacing w:val="6"/>
          <w:sz w:val="24"/>
          <w:szCs w:val="24"/>
        </w:rPr>
        <w:t xml:space="preserve">Бутовец Анастасия Витальевна </w:t>
      </w:r>
      <w:r w:rsidRPr="00E42D0F">
        <w:rPr>
          <w:rFonts w:ascii="Times New Roman" w:hAnsi="Times New Roman" w:cs="Times New Roman"/>
          <w:bCs/>
          <w:spacing w:val="6"/>
          <w:sz w:val="24"/>
          <w:szCs w:val="24"/>
        </w:rPr>
        <w:t>ОСОБЕННОСТИ НАСЛЕДОВАНИЯ ГОСУДАРСТВЕННЫХ НАГРАД, ПОЧЁТНЫХ И ПАМЯТНЫХ ЗНАКОВ</w:t>
      </w:r>
      <w:r w:rsidRPr="00E42D0F">
        <w:rPr>
          <w:rFonts w:ascii="Times New Roman" w:hAnsi="Times New Roman" w:cs="Times New Roman"/>
          <w:bCs/>
          <w:spacing w:val="6"/>
          <w:sz w:val="24"/>
          <w:szCs w:val="24"/>
        </w:rPr>
        <w:tab/>
        <w:t xml:space="preserve"> 48</w:t>
      </w:r>
    </w:p>
    <w:p w14:paraId="0E24B3EF"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
          <w:bCs/>
          <w:spacing w:val="6"/>
          <w:sz w:val="24"/>
          <w:szCs w:val="24"/>
        </w:rPr>
      </w:pPr>
      <w:r w:rsidRPr="00E42D0F">
        <w:rPr>
          <w:rFonts w:ascii="Times New Roman" w:hAnsi="Times New Roman" w:cs="Times New Roman"/>
          <w:b/>
          <w:bCs/>
          <w:spacing w:val="6"/>
          <w:sz w:val="24"/>
          <w:szCs w:val="24"/>
        </w:rPr>
        <w:t xml:space="preserve">Бухояров Владислав Евгеньевич </w:t>
      </w:r>
      <w:r w:rsidRPr="00E42D0F">
        <w:rPr>
          <w:rFonts w:ascii="Times New Roman" w:hAnsi="Times New Roman" w:cs="Times New Roman"/>
          <w:bCs/>
          <w:spacing w:val="6"/>
          <w:sz w:val="24"/>
          <w:szCs w:val="24"/>
        </w:rPr>
        <w:t>РОЛЬ НОТАРИАТА В ГРАЖДАНСКО-ПРАВОВЫХ ОТНОШЕНИЯХ</w:t>
      </w:r>
      <w:r w:rsidRPr="00E42D0F">
        <w:rPr>
          <w:rFonts w:ascii="Times New Roman" w:hAnsi="Times New Roman" w:cs="Times New Roman"/>
          <w:bCs/>
          <w:spacing w:val="6"/>
          <w:sz w:val="24"/>
          <w:szCs w:val="24"/>
        </w:rPr>
        <w:tab/>
        <w:t xml:space="preserve"> 53</w:t>
      </w:r>
    </w:p>
    <w:p w14:paraId="31178D66"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spacing w:val="6"/>
          <w:sz w:val="24"/>
          <w:szCs w:val="24"/>
        </w:rPr>
      </w:pPr>
      <w:r w:rsidRPr="00E42D0F">
        <w:rPr>
          <w:rFonts w:ascii="Times New Roman" w:hAnsi="Times New Roman" w:cs="Times New Roman"/>
          <w:b/>
          <w:bCs/>
          <w:spacing w:val="6"/>
          <w:sz w:val="24"/>
          <w:szCs w:val="24"/>
        </w:rPr>
        <w:t>Виноградов Даниил Алексеевич</w:t>
      </w:r>
      <w:r w:rsidRPr="00E42D0F">
        <w:rPr>
          <w:rFonts w:ascii="Times New Roman" w:hAnsi="Times New Roman" w:cs="Times New Roman"/>
          <w:spacing w:val="6"/>
          <w:sz w:val="24"/>
          <w:szCs w:val="24"/>
        </w:rPr>
        <w:t xml:space="preserve"> ПРАВОВОЕ РЕГУЛИРОВАНИЕ МЕЖДУНАРОДНОЙ МОРСКОЙ ПЕРЕВОЗКИ ПАССАЖИРОВ И БАГАЖА</w:t>
      </w:r>
      <w:r w:rsidRPr="00E42D0F">
        <w:rPr>
          <w:rFonts w:ascii="Times New Roman" w:hAnsi="Times New Roman" w:cs="Times New Roman"/>
          <w:spacing w:val="6"/>
          <w:sz w:val="24"/>
          <w:szCs w:val="24"/>
        </w:rPr>
        <w:tab/>
        <w:t xml:space="preserve"> 57</w:t>
      </w:r>
    </w:p>
    <w:p w14:paraId="6F985705" w14:textId="77777777" w:rsidR="00E91627" w:rsidRPr="00E42D0F" w:rsidRDefault="00E91627" w:rsidP="00E91627">
      <w:pPr>
        <w:jc w:val="both"/>
        <w:rPr>
          <w:rFonts w:ascii="Times New Roman" w:hAnsi="Times New Roman" w:cs="Times New Roman"/>
          <w:sz w:val="28"/>
          <w:szCs w:val="28"/>
        </w:rPr>
      </w:pPr>
      <w:r w:rsidRPr="00E42D0F">
        <w:rPr>
          <w:rFonts w:ascii="Times New Roman" w:hAnsi="Times New Roman" w:cs="Times New Roman"/>
          <w:b/>
          <w:sz w:val="24"/>
          <w:szCs w:val="24"/>
        </w:rPr>
        <w:t xml:space="preserve">Вихрева Алёна Вячеславовна </w:t>
      </w:r>
      <w:r w:rsidRPr="00E42D0F">
        <w:rPr>
          <w:rFonts w:ascii="Times New Roman" w:hAnsi="Times New Roman" w:cs="Times New Roman"/>
          <w:sz w:val="28"/>
          <w:szCs w:val="28"/>
        </w:rPr>
        <w:t>ОСОБЕННОСТИ ЗЛОУПОТРЕБЛЕНИЯ ГРАЖДАНСКИМИ ПРАВАМИ ……………………………………………. 60</w:t>
      </w:r>
    </w:p>
    <w:p w14:paraId="424F5A45"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
          <w:bCs/>
          <w:spacing w:val="6"/>
          <w:sz w:val="24"/>
          <w:szCs w:val="24"/>
        </w:rPr>
      </w:pPr>
      <w:r w:rsidRPr="00E42D0F">
        <w:rPr>
          <w:rFonts w:ascii="Times New Roman" w:hAnsi="Times New Roman" w:cs="Times New Roman"/>
          <w:b/>
          <w:bCs/>
          <w:spacing w:val="6"/>
          <w:sz w:val="24"/>
          <w:szCs w:val="24"/>
        </w:rPr>
        <w:t xml:space="preserve">Гаврик Анастасия Евгеньевна </w:t>
      </w:r>
      <w:r w:rsidRPr="00E42D0F">
        <w:rPr>
          <w:rFonts w:ascii="Times New Roman" w:hAnsi="Times New Roman" w:cs="Times New Roman"/>
          <w:bCs/>
          <w:spacing w:val="6"/>
          <w:sz w:val="24"/>
          <w:szCs w:val="24"/>
        </w:rPr>
        <w:t>ОСОБЕННОСТИ ГРАЖДАНСКО-ПРАВОВОЙ ОТВЕТСТВЕННОСТИ ИНФОРМАЦИОННОГО ПОСРЕДНИКА</w:t>
      </w:r>
      <w:r w:rsidRPr="00E42D0F">
        <w:rPr>
          <w:rFonts w:ascii="Times New Roman" w:hAnsi="Times New Roman" w:cs="Times New Roman"/>
          <w:bCs/>
          <w:spacing w:val="6"/>
          <w:sz w:val="24"/>
          <w:szCs w:val="24"/>
        </w:rPr>
        <w:tab/>
        <w:t xml:space="preserve"> 66</w:t>
      </w:r>
    </w:p>
    <w:p w14:paraId="7946E1DA"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
          <w:bCs/>
          <w:spacing w:val="6"/>
          <w:sz w:val="24"/>
          <w:szCs w:val="24"/>
        </w:rPr>
      </w:pPr>
      <w:r w:rsidRPr="00E42D0F">
        <w:rPr>
          <w:rFonts w:ascii="Times New Roman" w:hAnsi="Times New Roman" w:cs="Times New Roman"/>
          <w:b/>
          <w:bCs/>
          <w:spacing w:val="6"/>
          <w:sz w:val="24"/>
          <w:szCs w:val="24"/>
        </w:rPr>
        <w:lastRenderedPageBreak/>
        <w:t xml:space="preserve">Галстян Арпеник Вартановна </w:t>
      </w:r>
      <w:r w:rsidRPr="00E42D0F">
        <w:rPr>
          <w:rFonts w:ascii="Times New Roman" w:hAnsi="Times New Roman" w:cs="Times New Roman"/>
          <w:bCs/>
          <w:spacing w:val="6"/>
          <w:sz w:val="24"/>
          <w:szCs w:val="24"/>
        </w:rPr>
        <w:t>РОЛЬ ОРГАНОВ ОПЕКИ И ПОПЕЧИТЕЛЬСТВА В ИМУЩЕСТВЕННЫХ ПРАВАХ НЕСОВЕРШЕННОЛЕТНИХ: АНАЛИЗ РОССИЙСКОГО ЗАКОНОДАТЕЛЬСТВА</w:t>
      </w:r>
      <w:r w:rsidRPr="00E42D0F">
        <w:rPr>
          <w:rFonts w:ascii="Times New Roman" w:hAnsi="Times New Roman" w:cs="Times New Roman"/>
          <w:spacing w:val="6"/>
          <w:sz w:val="24"/>
          <w:szCs w:val="24"/>
        </w:rPr>
        <w:t xml:space="preserve"> </w:t>
      </w:r>
      <w:r w:rsidRPr="00E42D0F">
        <w:rPr>
          <w:rFonts w:ascii="Times New Roman" w:hAnsi="Times New Roman" w:cs="Times New Roman"/>
          <w:spacing w:val="6"/>
          <w:sz w:val="24"/>
          <w:szCs w:val="24"/>
        </w:rPr>
        <w:tab/>
        <w:t>71</w:t>
      </w:r>
    </w:p>
    <w:p w14:paraId="2F5371C4"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
          <w:bCs/>
          <w:spacing w:val="6"/>
          <w:sz w:val="24"/>
          <w:szCs w:val="24"/>
        </w:rPr>
      </w:pPr>
      <w:r w:rsidRPr="00E42D0F">
        <w:rPr>
          <w:rFonts w:ascii="Times New Roman" w:hAnsi="Times New Roman" w:cs="Times New Roman"/>
          <w:b/>
          <w:bCs/>
          <w:spacing w:val="6"/>
          <w:sz w:val="24"/>
          <w:szCs w:val="24"/>
        </w:rPr>
        <w:t xml:space="preserve">Гамидов Владислав Романович </w:t>
      </w:r>
      <w:r w:rsidRPr="00E42D0F">
        <w:rPr>
          <w:rFonts w:ascii="Times New Roman" w:hAnsi="Times New Roman" w:cs="Times New Roman"/>
          <w:bCs/>
          <w:spacing w:val="6"/>
          <w:sz w:val="24"/>
          <w:szCs w:val="24"/>
        </w:rPr>
        <w:t xml:space="preserve">ПРОБЛЕМА УСТАНОВЛЕНИЯ ФАКТА ГРУБОЙ НЕОСТОРОЖНОСТИ ПОТЕРПЕВШЕГО КАК ОБСТОЯТЕЛЬСТВА, ВЛИЯЮЩЕГО НА ПОЛНОЕ ИЛИ ЧАСТИЧНОЕ ОСВОБОЖДЕНИЕ ВЛАДЕЛЬЦА ИСТОЧНИКА ПОВЫШЕННОЙ ОПАСНОСТИ ОТ ВОЗМЕЩЕНИЯ ВРЕДА </w:t>
      </w:r>
      <w:r w:rsidRPr="00E42D0F">
        <w:rPr>
          <w:rFonts w:ascii="Times New Roman" w:hAnsi="Times New Roman" w:cs="Times New Roman"/>
          <w:bCs/>
          <w:spacing w:val="6"/>
          <w:sz w:val="24"/>
          <w:szCs w:val="24"/>
        </w:rPr>
        <w:tab/>
        <w:t>75</w:t>
      </w:r>
    </w:p>
    <w:p w14:paraId="2F403290"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spacing w:val="6"/>
          <w:sz w:val="24"/>
          <w:szCs w:val="24"/>
        </w:rPr>
      </w:pPr>
      <w:r w:rsidRPr="00E42D0F">
        <w:rPr>
          <w:rFonts w:ascii="Times New Roman" w:hAnsi="Times New Roman" w:cs="Times New Roman"/>
          <w:b/>
          <w:bCs/>
          <w:spacing w:val="6"/>
          <w:sz w:val="24"/>
          <w:szCs w:val="24"/>
        </w:rPr>
        <w:t xml:space="preserve">Гриненко Анастасия Алексеевна </w:t>
      </w:r>
      <w:r w:rsidRPr="00E42D0F">
        <w:rPr>
          <w:rFonts w:ascii="Times New Roman" w:hAnsi="Times New Roman" w:cs="Times New Roman"/>
          <w:bCs/>
          <w:spacing w:val="6"/>
          <w:sz w:val="24"/>
          <w:szCs w:val="24"/>
        </w:rPr>
        <w:t>ОГРАНИЧЕНИЕ ДЕЕСПОСОБНОСТИ ГРАЖДАНИНА</w:t>
      </w:r>
      <w:r w:rsidRPr="00E42D0F">
        <w:rPr>
          <w:rFonts w:ascii="Times New Roman" w:hAnsi="Times New Roman" w:cs="Times New Roman"/>
          <w:spacing w:val="6"/>
          <w:sz w:val="24"/>
          <w:szCs w:val="24"/>
        </w:rPr>
        <w:tab/>
        <w:t>80</w:t>
      </w:r>
    </w:p>
    <w:p w14:paraId="4CE0874B"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
          <w:bCs/>
          <w:spacing w:val="6"/>
          <w:sz w:val="24"/>
          <w:szCs w:val="24"/>
        </w:rPr>
      </w:pPr>
      <w:r w:rsidRPr="00E42D0F">
        <w:rPr>
          <w:rFonts w:ascii="Times New Roman" w:hAnsi="Times New Roman" w:cs="Times New Roman"/>
          <w:b/>
          <w:bCs/>
          <w:spacing w:val="6"/>
          <w:sz w:val="24"/>
          <w:szCs w:val="24"/>
        </w:rPr>
        <w:t xml:space="preserve">Джадан Егор Иванович </w:t>
      </w:r>
      <w:r w:rsidRPr="00E42D0F">
        <w:rPr>
          <w:rFonts w:ascii="Times New Roman" w:hAnsi="Times New Roman" w:cs="Times New Roman"/>
          <w:bCs/>
          <w:spacing w:val="6"/>
          <w:sz w:val="24"/>
          <w:szCs w:val="24"/>
        </w:rPr>
        <w:t xml:space="preserve">ОГРАНИЧЕННЫЕ ВЕЩНЫЕ ПРАВА НА ЗЕМЕЛЬНЫЕ УЧАСТКИ: ПРОБЛЕМЫ ЗАКОНОДАТЕЛЬНОЙ РЕГЛАМЕНТАЦИИ </w:t>
      </w:r>
      <w:r w:rsidRPr="00E42D0F">
        <w:rPr>
          <w:rFonts w:ascii="Times New Roman" w:hAnsi="Times New Roman" w:cs="Times New Roman"/>
          <w:bCs/>
          <w:spacing w:val="6"/>
          <w:sz w:val="24"/>
          <w:szCs w:val="24"/>
        </w:rPr>
        <w:tab/>
        <w:t>84</w:t>
      </w:r>
    </w:p>
    <w:p w14:paraId="5CB31EF0"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
          <w:bCs/>
          <w:spacing w:val="6"/>
          <w:sz w:val="24"/>
          <w:szCs w:val="24"/>
        </w:rPr>
      </w:pPr>
      <w:r w:rsidRPr="00E42D0F">
        <w:rPr>
          <w:rFonts w:ascii="Times New Roman" w:hAnsi="Times New Roman" w:cs="Times New Roman"/>
          <w:b/>
          <w:bCs/>
          <w:spacing w:val="6"/>
          <w:sz w:val="24"/>
          <w:szCs w:val="24"/>
        </w:rPr>
        <w:t xml:space="preserve">Зайцев Дмитрий Максимович </w:t>
      </w:r>
      <w:r w:rsidRPr="00E42D0F">
        <w:rPr>
          <w:rFonts w:ascii="Times New Roman" w:hAnsi="Times New Roman" w:cs="Times New Roman"/>
          <w:bCs/>
          <w:spacing w:val="6"/>
          <w:sz w:val="24"/>
          <w:szCs w:val="24"/>
        </w:rPr>
        <w:t>К ВОПРОСУ ОБ ОГРАНИЧЕННЫХ ВЕЩНЫХ ПРАВАХ</w:t>
      </w:r>
      <w:r w:rsidRPr="00E42D0F">
        <w:rPr>
          <w:rFonts w:ascii="Times New Roman" w:hAnsi="Times New Roman" w:cs="Times New Roman"/>
          <w:spacing w:val="6"/>
          <w:sz w:val="24"/>
          <w:szCs w:val="24"/>
        </w:rPr>
        <w:t xml:space="preserve"> </w:t>
      </w:r>
      <w:r w:rsidRPr="00E42D0F">
        <w:rPr>
          <w:rFonts w:ascii="Times New Roman" w:hAnsi="Times New Roman" w:cs="Times New Roman"/>
          <w:spacing w:val="6"/>
          <w:sz w:val="24"/>
          <w:szCs w:val="24"/>
        </w:rPr>
        <w:tab/>
        <w:t>91</w:t>
      </w:r>
    </w:p>
    <w:p w14:paraId="5EB6BD18"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
          <w:bCs/>
          <w:spacing w:val="6"/>
          <w:sz w:val="24"/>
          <w:szCs w:val="24"/>
        </w:rPr>
      </w:pPr>
      <w:r w:rsidRPr="00E42D0F">
        <w:rPr>
          <w:rFonts w:ascii="Times New Roman" w:hAnsi="Times New Roman" w:cs="Times New Roman"/>
          <w:b/>
          <w:bCs/>
          <w:spacing w:val="6"/>
          <w:sz w:val="24"/>
          <w:szCs w:val="24"/>
        </w:rPr>
        <w:t>Ибрагимов Тимур Тельманович, Седова Наталья Александровна</w:t>
      </w:r>
      <w:r w:rsidRPr="00E42D0F">
        <w:rPr>
          <w:rFonts w:ascii="Times New Roman" w:hAnsi="Times New Roman" w:cs="Times New Roman"/>
          <w:bCs/>
          <w:spacing w:val="6"/>
          <w:sz w:val="24"/>
          <w:szCs w:val="24"/>
        </w:rPr>
        <w:t xml:space="preserve"> ЭЛЕКТРОННЫЕ ДЕНЕЖНЫЕ СРЕДСТВА КАК ОБЪЕКТ ГРАЖДАНСКИХ ПРАВООТНОШЕНИЙ</w:t>
      </w:r>
      <w:r w:rsidRPr="00E42D0F">
        <w:rPr>
          <w:rFonts w:ascii="Times New Roman" w:hAnsi="Times New Roman" w:cs="Times New Roman"/>
          <w:b/>
          <w:bCs/>
          <w:spacing w:val="6"/>
          <w:sz w:val="24"/>
          <w:szCs w:val="24"/>
        </w:rPr>
        <w:t xml:space="preserve"> </w:t>
      </w:r>
      <w:r w:rsidRPr="00E42D0F">
        <w:rPr>
          <w:rFonts w:ascii="Times New Roman" w:hAnsi="Times New Roman" w:cs="Times New Roman"/>
          <w:spacing w:val="6"/>
          <w:sz w:val="24"/>
          <w:szCs w:val="24"/>
        </w:rPr>
        <w:tab/>
        <w:t>95</w:t>
      </w:r>
    </w:p>
    <w:p w14:paraId="23812EBE"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
          <w:bCs/>
          <w:spacing w:val="6"/>
          <w:sz w:val="24"/>
          <w:szCs w:val="24"/>
        </w:rPr>
      </w:pPr>
      <w:r w:rsidRPr="00E42D0F">
        <w:rPr>
          <w:rFonts w:ascii="Times New Roman" w:hAnsi="Times New Roman" w:cs="Times New Roman"/>
          <w:b/>
          <w:bCs/>
          <w:spacing w:val="6"/>
          <w:sz w:val="24"/>
          <w:szCs w:val="24"/>
        </w:rPr>
        <w:t xml:space="preserve">Ибрахим Мохаммад </w:t>
      </w:r>
      <w:r w:rsidRPr="00E42D0F">
        <w:rPr>
          <w:rFonts w:ascii="Times New Roman" w:hAnsi="Times New Roman" w:cs="Times New Roman"/>
          <w:bCs/>
          <w:spacing w:val="6"/>
          <w:sz w:val="24"/>
          <w:szCs w:val="24"/>
        </w:rPr>
        <w:t xml:space="preserve">СОСЕДСКИЕ ПРАВА КАК ОСНОВАНИЯ ОГРАНИЧЕНИЙ И ПРЕКРАЩЕНИЯ ПРАВА СОБСТВЕННОСТИ НА СМЕЖНЫЕ УЧАСТКИ </w:t>
      </w:r>
      <w:r w:rsidRPr="00E42D0F">
        <w:rPr>
          <w:rFonts w:ascii="Times New Roman" w:hAnsi="Times New Roman" w:cs="Times New Roman"/>
          <w:bCs/>
          <w:spacing w:val="6"/>
          <w:sz w:val="24"/>
          <w:szCs w:val="24"/>
        </w:rPr>
        <w:tab/>
        <w:t>99</w:t>
      </w:r>
    </w:p>
    <w:p w14:paraId="2DEAED84"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spacing w:val="6"/>
          <w:sz w:val="24"/>
          <w:szCs w:val="24"/>
        </w:rPr>
      </w:pPr>
      <w:r w:rsidRPr="00E42D0F">
        <w:rPr>
          <w:rFonts w:ascii="Times New Roman" w:hAnsi="Times New Roman" w:cs="Times New Roman"/>
          <w:b/>
          <w:bCs/>
          <w:spacing w:val="6"/>
          <w:sz w:val="24"/>
          <w:szCs w:val="24"/>
        </w:rPr>
        <w:t>Илькун Александр Сергеевич</w:t>
      </w:r>
      <w:r w:rsidRPr="00E42D0F">
        <w:rPr>
          <w:rFonts w:ascii="Times New Roman" w:hAnsi="Times New Roman" w:cs="Times New Roman"/>
          <w:spacing w:val="6"/>
          <w:sz w:val="24"/>
          <w:szCs w:val="24"/>
        </w:rPr>
        <w:t xml:space="preserve"> ИСКИ ОБ ИСТРЕБОВАНИИ ИМУЩЕСТВА ИЗ ЧУЖОГО НЕЗАКОННОГО ВЛАДЕНИЯ </w:t>
      </w:r>
      <w:r w:rsidRPr="00E42D0F">
        <w:rPr>
          <w:rFonts w:ascii="Times New Roman" w:hAnsi="Times New Roman" w:cs="Times New Roman"/>
          <w:spacing w:val="6"/>
          <w:sz w:val="24"/>
          <w:szCs w:val="24"/>
        </w:rPr>
        <w:tab/>
        <w:t>103</w:t>
      </w:r>
    </w:p>
    <w:p w14:paraId="28A6A72A"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
          <w:bCs/>
          <w:spacing w:val="6"/>
          <w:sz w:val="24"/>
          <w:szCs w:val="24"/>
        </w:rPr>
      </w:pPr>
      <w:r w:rsidRPr="00E42D0F">
        <w:rPr>
          <w:rFonts w:ascii="Times New Roman" w:hAnsi="Times New Roman" w:cs="Times New Roman"/>
          <w:b/>
          <w:bCs/>
          <w:spacing w:val="6"/>
          <w:sz w:val="24"/>
          <w:szCs w:val="24"/>
        </w:rPr>
        <w:t xml:space="preserve">Каспарян Альберт Арутович </w:t>
      </w:r>
      <w:r w:rsidRPr="00E42D0F">
        <w:rPr>
          <w:rFonts w:ascii="Times New Roman" w:hAnsi="Times New Roman" w:cs="Times New Roman"/>
          <w:bCs/>
          <w:spacing w:val="6"/>
          <w:sz w:val="24"/>
          <w:szCs w:val="24"/>
        </w:rPr>
        <w:t>К ВОПРОСУ О РЕОРГАНИЗАЦИИ ЮРИДИЧЕСКИХ ЛИЦ</w:t>
      </w:r>
      <w:r w:rsidRPr="00E42D0F">
        <w:rPr>
          <w:rFonts w:ascii="Times New Roman" w:hAnsi="Times New Roman" w:cs="Times New Roman"/>
          <w:b/>
          <w:bCs/>
          <w:spacing w:val="6"/>
          <w:sz w:val="24"/>
          <w:szCs w:val="24"/>
        </w:rPr>
        <w:t xml:space="preserve"> </w:t>
      </w:r>
      <w:r w:rsidRPr="00E42D0F">
        <w:rPr>
          <w:rFonts w:ascii="Times New Roman" w:hAnsi="Times New Roman" w:cs="Times New Roman"/>
          <w:spacing w:val="6"/>
          <w:sz w:val="24"/>
          <w:szCs w:val="24"/>
        </w:rPr>
        <w:t xml:space="preserve"> </w:t>
      </w:r>
      <w:r w:rsidRPr="00E42D0F">
        <w:rPr>
          <w:rFonts w:ascii="Times New Roman" w:hAnsi="Times New Roman" w:cs="Times New Roman"/>
          <w:spacing w:val="6"/>
          <w:sz w:val="24"/>
          <w:szCs w:val="24"/>
        </w:rPr>
        <w:tab/>
        <w:t>107</w:t>
      </w:r>
    </w:p>
    <w:p w14:paraId="1C67B14E"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spacing w:val="6"/>
          <w:sz w:val="24"/>
          <w:szCs w:val="24"/>
        </w:rPr>
      </w:pPr>
      <w:r w:rsidRPr="00E42D0F">
        <w:rPr>
          <w:rFonts w:ascii="Times New Roman" w:hAnsi="Times New Roman" w:cs="Times New Roman"/>
          <w:b/>
          <w:bCs/>
          <w:spacing w:val="6"/>
          <w:sz w:val="24"/>
          <w:szCs w:val="24"/>
        </w:rPr>
        <w:t xml:space="preserve">Кокошко Анастасия Владимировна </w:t>
      </w:r>
      <w:r w:rsidRPr="00E42D0F">
        <w:rPr>
          <w:rFonts w:ascii="Times New Roman" w:hAnsi="Times New Roman" w:cs="Times New Roman"/>
          <w:bCs/>
          <w:spacing w:val="6"/>
          <w:sz w:val="24"/>
          <w:szCs w:val="24"/>
        </w:rPr>
        <w:t>ИНСТИТУТ РАСКРЫТИЯ ДОКАЗАТЕЛЬСТВ В ГРАЖДАНСКОМ И АРБИТРАЖНОМ ПРОЦЕССЕ</w:t>
      </w:r>
      <w:r w:rsidRPr="00E42D0F">
        <w:rPr>
          <w:rFonts w:ascii="Times New Roman" w:hAnsi="Times New Roman" w:cs="Times New Roman"/>
          <w:spacing w:val="6"/>
          <w:sz w:val="24"/>
          <w:szCs w:val="24"/>
        </w:rPr>
        <w:t xml:space="preserve"> </w:t>
      </w:r>
      <w:r w:rsidRPr="00E42D0F">
        <w:rPr>
          <w:rFonts w:ascii="Times New Roman" w:hAnsi="Times New Roman" w:cs="Times New Roman"/>
          <w:spacing w:val="6"/>
          <w:sz w:val="24"/>
          <w:szCs w:val="24"/>
        </w:rPr>
        <w:tab/>
        <w:t>113</w:t>
      </w:r>
    </w:p>
    <w:p w14:paraId="5109B5E8"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
          <w:bCs/>
          <w:spacing w:val="6"/>
          <w:sz w:val="24"/>
          <w:szCs w:val="24"/>
        </w:rPr>
      </w:pPr>
      <w:r w:rsidRPr="00E42D0F">
        <w:rPr>
          <w:rFonts w:ascii="Times New Roman" w:hAnsi="Times New Roman" w:cs="Times New Roman"/>
          <w:b/>
          <w:bCs/>
          <w:spacing w:val="6"/>
          <w:sz w:val="24"/>
          <w:szCs w:val="24"/>
        </w:rPr>
        <w:t xml:space="preserve">Кончаков Александр Борисович, Коржов Дмитрий Михайлович </w:t>
      </w:r>
      <w:r w:rsidRPr="00E42D0F">
        <w:rPr>
          <w:rFonts w:ascii="Times New Roman" w:hAnsi="Times New Roman" w:cs="Times New Roman"/>
          <w:bCs/>
          <w:spacing w:val="6"/>
          <w:sz w:val="24"/>
          <w:szCs w:val="24"/>
        </w:rPr>
        <w:t xml:space="preserve">К ВОПРОСУ О ПРАВОСУБЪЕКТНОСТИ ПУБЛИЧНО – ПРАВОВЫХ ОБРАЗВАНИЙ В ГРАЖДАНСКИХ ПРАВООТНОШЕНИЯХ </w:t>
      </w:r>
      <w:r w:rsidRPr="00E42D0F">
        <w:rPr>
          <w:rFonts w:ascii="Times New Roman" w:hAnsi="Times New Roman" w:cs="Times New Roman"/>
          <w:spacing w:val="6"/>
          <w:sz w:val="24"/>
          <w:szCs w:val="24"/>
        </w:rPr>
        <w:t xml:space="preserve"> </w:t>
      </w:r>
      <w:r w:rsidRPr="00E42D0F">
        <w:rPr>
          <w:rFonts w:ascii="Times New Roman" w:hAnsi="Times New Roman" w:cs="Times New Roman"/>
          <w:spacing w:val="6"/>
          <w:sz w:val="24"/>
          <w:szCs w:val="24"/>
        </w:rPr>
        <w:tab/>
        <w:t>117</w:t>
      </w:r>
    </w:p>
    <w:p w14:paraId="7C946470"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
          <w:bCs/>
          <w:spacing w:val="6"/>
          <w:sz w:val="24"/>
          <w:szCs w:val="24"/>
        </w:rPr>
      </w:pPr>
      <w:r w:rsidRPr="00E42D0F">
        <w:rPr>
          <w:rFonts w:ascii="Times New Roman" w:hAnsi="Times New Roman" w:cs="Times New Roman"/>
          <w:b/>
          <w:bCs/>
          <w:spacing w:val="6"/>
          <w:sz w:val="24"/>
          <w:szCs w:val="24"/>
        </w:rPr>
        <w:t xml:space="preserve">Лисица Анастасия Алексеевна </w:t>
      </w:r>
      <w:r w:rsidRPr="00E42D0F">
        <w:rPr>
          <w:rFonts w:ascii="Times New Roman" w:hAnsi="Times New Roman" w:cs="Times New Roman"/>
          <w:bCs/>
          <w:spacing w:val="6"/>
          <w:sz w:val="24"/>
          <w:szCs w:val="24"/>
        </w:rPr>
        <w:t>РЕКВИЗИЦИЯ КАК ОСНОВАНИЕ ПРИНУДИТЕЛЬНОГО ПРЕКРАЩЕНИЯ ПРАВ НА ЗЕМЕЛЬНЫЕ УЧАСТКИ</w:t>
      </w:r>
      <w:r w:rsidRPr="00E42D0F">
        <w:rPr>
          <w:rFonts w:ascii="Times New Roman" w:hAnsi="Times New Roman" w:cs="Times New Roman"/>
          <w:spacing w:val="6"/>
          <w:sz w:val="24"/>
          <w:szCs w:val="24"/>
        </w:rPr>
        <w:t xml:space="preserve"> </w:t>
      </w:r>
      <w:r w:rsidRPr="00E42D0F">
        <w:rPr>
          <w:rFonts w:ascii="Times New Roman" w:hAnsi="Times New Roman" w:cs="Times New Roman"/>
          <w:spacing w:val="6"/>
          <w:sz w:val="24"/>
          <w:szCs w:val="24"/>
        </w:rPr>
        <w:tab/>
        <w:t>122</w:t>
      </w:r>
    </w:p>
    <w:p w14:paraId="63DE10C0"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
          <w:bCs/>
          <w:spacing w:val="6"/>
          <w:sz w:val="24"/>
          <w:szCs w:val="24"/>
        </w:rPr>
      </w:pPr>
      <w:r w:rsidRPr="00E42D0F">
        <w:rPr>
          <w:rFonts w:ascii="Times New Roman" w:hAnsi="Times New Roman" w:cs="Times New Roman"/>
          <w:b/>
          <w:sz w:val="24"/>
          <w:szCs w:val="24"/>
        </w:rPr>
        <w:t xml:space="preserve">Маслак Илья Николаевич </w:t>
      </w:r>
      <w:r w:rsidRPr="00E42D0F">
        <w:rPr>
          <w:rFonts w:ascii="Times New Roman" w:hAnsi="Times New Roman" w:cs="Times New Roman"/>
          <w:bCs/>
          <w:spacing w:val="6"/>
          <w:sz w:val="24"/>
          <w:szCs w:val="24"/>
        </w:rPr>
        <w:t xml:space="preserve">ПОРУЧИТЕЛЬСТВО В МЕХАНИЗМЕ ОБЕСПЕЧЕНИЯ ИСПОЛНЕНИЯ ОБЯЗАТЕЛЬСТВА </w:t>
      </w:r>
      <w:r w:rsidRPr="00E42D0F">
        <w:rPr>
          <w:rFonts w:ascii="Times New Roman" w:hAnsi="Times New Roman" w:cs="Times New Roman"/>
          <w:bCs/>
          <w:spacing w:val="6"/>
          <w:sz w:val="24"/>
          <w:szCs w:val="24"/>
        </w:rPr>
        <w:tab/>
        <w:t>126</w:t>
      </w:r>
    </w:p>
    <w:p w14:paraId="59357D86"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
          <w:bCs/>
          <w:spacing w:val="6"/>
          <w:sz w:val="24"/>
          <w:szCs w:val="24"/>
        </w:rPr>
      </w:pPr>
      <w:r w:rsidRPr="00E42D0F">
        <w:rPr>
          <w:rFonts w:ascii="Times New Roman" w:hAnsi="Times New Roman" w:cs="Times New Roman"/>
          <w:b/>
          <w:bCs/>
          <w:spacing w:val="6"/>
          <w:sz w:val="24"/>
          <w:szCs w:val="24"/>
        </w:rPr>
        <w:t xml:space="preserve">Мирзоян Анаит Андрониковна </w:t>
      </w:r>
      <w:r w:rsidRPr="00E42D0F">
        <w:rPr>
          <w:rFonts w:ascii="Times New Roman" w:hAnsi="Times New Roman" w:cs="Times New Roman"/>
          <w:bCs/>
          <w:spacing w:val="6"/>
          <w:sz w:val="24"/>
          <w:szCs w:val="24"/>
        </w:rPr>
        <w:t xml:space="preserve">ОСНОВАНИЯ ВОЗНИКНОВЕНИЯ ПРАВА СОБСТВЕННОСТИ НА САМОВОЛЬНУЮ ПОСТРОЙКУ </w:t>
      </w:r>
      <w:r w:rsidRPr="00E42D0F">
        <w:rPr>
          <w:rFonts w:ascii="Times New Roman" w:hAnsi="Times New Roman" w:cs="Times New Roman"/>
          <w:bCs/>
          <w:spacing w:val="6"/>
          <w:sz w:val="24"/>
          <w:szCs w:val="24"/>
        </w:rPr>
        <w:tab/>
        <w:t>130</w:t>
      </w:r>
    </w:p>
    <w:p w14:paraId="741D6D78"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
          <w:bCs/>
          <w:spacing w:val="6"/>
          <w:sz w:val="24"/>
          <w:szCs w:val="24"/>
        </w:rPr>
      </w:pPr>
      <w:r w:rsidRPr="00E42D0F">
        <w:rPr>
          <w:rFonts w:ascii="Times New Roman" w:hAnsi="Times New Roman" w:cs="Times New Roman"/>
          <w:b/>
          <w:bCs/>
          <w:spacing w:val="6"/>
          <w:sz w:val="24"/>
          <w:szCs w:val="24"/>
        </w:rPr>
        <w:lastRenderedPageBreak/>
        <w:t xml:space="preserve">Мироненко Игорь Александрович </w:t>
      </w:r>
      <w:r w:rsidRPr="00E42D0F">
        <w:rPr>
          <w:rFonts w:ascii="Times New Roman" w:hAnsi="Times New Roman" w:cs="Times New Roman"/>
          <w:bCs/>
          <w:spacing w:val="6"/>
          <w:sz w:val="24"/>
          <w:szCs w:val="24"/>
        </w:rPr>
        <w:t xml:space="preserve">КОНФИСКАЦИЯ И РЕКВИЗИЦИЯ ЗЕМЕЛЬНЫХ УЧАСТКОВ: ПРОБЛЕМЫ ПРАВОВОГО РЕГУЛИРОВАНИЯ </w:t>
      </w:r>
      <w:r w:rsidRPr="00E42D0F">
        <w:rPr>
          <w:rFonts w:ascii="Times New Roman" w:hAnsi="Times New Roman" w:cs="Times New Roman"/>
          <w:bCs/>
          <w:spacing w:val="6"/>
          <w:sz w:val="24"/>
          <w:szCs w:val="24"/>
        </w:rPr>
        <w:tab/>
        <w:t>135</w:t>
      </w:r>
    </w:p>
    <w:p w14:paraId="27FD9519"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
          <w:bCs/>
          <w:spacing w:val="6"/>
          <w:sz w:val="24"/>
          <w:szCs w:val="24"/>
        </w:rPr>
      </w:pPr>
      <w:r w:rsidRPr="00E42D0F">
        <w:rPr>
          <w:rFonts w:ascii="Times New Roman" w:hAnsi="Times New Roman" w:cs="Times New Roman"/>
          <w:b/>
          <w:bCs/>
          <w:spacing w:val="6"/>
          <w:sz w:val="24"/>
          <w:szCs w:val="24"/>
        </w:rPr>
        <w:t xml:space="preserve">Мышов Сергей Русланович </w:t>
      </w:r>
      <w:r w:rsidRPr="00E42D0F">
        <w:rPr>
          <w:rFonts w:ascii="Times New Roman" w:hAnsi="Times New Roman" w:cs="Times New Roman"/>
          <w:bCs/>
          <w:spacing w:val="6"/>
          <w:sz w:val="24"/>
          <w:szCs w:val="24"/>
        </w:rPr>
        <w:t xml:space="preserve">РОЛЬ ЗАРУБЕЖНЫХ КОНЦЕПЦИЙ «ПРЕДВИДИМОСТЬ» И «ПРИЧИННАЯ СВЯЗЬ», КАК ОСНОВАНИЕ ГРАЖДАНСКОПРАВОВОЙ ОТВЕТСТВЕННОСТИ В РОССИЙСКОМ ЗАКОНОДАТЕЛЬСТВЕ </w:t>
      </w:r>
      <w:r w:rsidRPr="00E42D0F">
        <w:rPr>
          <w:rFonts w:ascii="Times New Roman" w:hAnsi="Times New Roman" w:cs="Times New Roman"/>
          <w:bCs/>
          <w:spacing w:val="6"/>
          <w:sz w:val="24"/>
          <w:szCs w:val="24"/>
        </w:rPr>
        <w:tab/>
        <w:t>140</w:t>
      </w:r>
    </w:p>
    <w:p w14:paraId="464DA757"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
          <w:bCs/>
          <w:spacing w:val="6"/>
          <w:sz w:val="24"/>
          <w:szCs w:val="24"/>
        </w:rPr>
      </w:pPr>
      <w:r w:rsidRPr="00E42D0F">
        <w:rPr>
          <w:rFonts w:ascii="Times New Roman" w:hAnsi="Times New Roman" w:cs="Times New Roman"/>
          <w:b/>
          <w:bCs/>
          <w:spacing w:val="6"/>
          <w:sz w:val="24"/>
          <w:szCs w:val="24"/>
        </w:rPr>
        <w:t xml:space="preserve">Назаров Артём Александрович </w:t>
      </w:r>
      <w:r w:rsidRPr="00E42D0F">
        <w:rPr>
          <w:rFonts w:ascii="Times New Roman" w:hAnsi="Times New Roman" w:cs="Times New Roman"/>
          <w:bCs/>
          <w:spacing w:val="6"/>
          <w:sz w:val="24"/>
          <w:szCs w:val="24"/>
        </w:rPr>
        <w:t xml:space="preserve">О ДУАЛИСТИЧЕСКОЙ СИСТЕМЕ ЧАСТНОГО ПРАВА </w:t>
      </w:r>
      <w:r w:rsidRPr="00E42D0F">
        <w:rPr>
          <w:rFonts w:ascii="Times New Roman" w:hAnsi="Times New Roman" w:cs="Times New Roman"/>
          <w:bCs/>
          <w:spacing w:val="6"/>
          <w:sz w:val="24"/>
          <w:szCs w:val="24"/>
        </w:rPr>
        <w:tab/>
        <w:t>146</w:t>
      </w:r>
    </w:p>
    <w:p w14:paraId="2C19847B"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
          <w:bCs/>
          <w:spacing w:val="6"/>
          <w:sz w:val="24"/>
          <w:szCs w:val="24"/>
        </w:rPr>
      </w:pPr>
      <w:r w:rsidRPr="00E42D0F">
        <w:rPr>
          <w:rFonts w:ascii="Times New Roman" w:hAnsi="Times New Roman" w:cs="Times New Roman"/>
          <w:b/>
          <w:bCs/>
          <w:spacing w:val="6"/>
          <w:sz w:val="24"/>
          <w:szCs w:val="24"/>
        </w:rPr>
        <w:t xml:space="preserve">Оганезов Эдгар Маратович </w:t>
      </w:r>
      <w:r w:rsidRPr="00E42D0F">
        <w:rPr>
          <w:rFonts w:ascii="Times New Roman" w:hAnsi="Times New Roman" w:cs="Times New Roman"/>
          <w:bCs/>
          <w:spacing w:val="6"/>
          <w:sz w:val="24"/>
          <w:szCs w:val="24"/>
        </w:rPr>
        <w:t>ПРОБЛЕМЫ ПРАВОВОГО РЕГУЛИРОВАНИЯ РЕЗЕРВИРОВАНИЯ ЗЕМЕЛЬ</w:t>
      </w:r>
      <w:r w:rsidRPr="00E42D0F">
        <w:rPr>
          <w:rFonts w:ascii="Times New Roman" w:hAnsi="Times New Roman" w:cs="Times New Roman"/>
          <w:b/>
          <w:bCs/>
          <w:spacing w:val="6"/>
          <w:sz w:val="24"/>
          <w:szCs w:val="24"/>
        </w:rPr>
        <w:t xml:space="preserve"> </w:t>
      </w:r>
      <w:r w:rsidRPr="00E42D0F">
        <w:rPr>
          <w:rFonts w:ascii="Times New Roman" w:hAnsi="Times New Roman" w:cs="Times New Roman"/>
          <w:spacing w:val="6"/>
          <w:sz w:val="24"/>
          <w:szCs w:val="24"/>
        </w:rPr>
        <w:tab/>
        <w:t>151</w:t>
      </w:r>
    </w:p>
    <w:p w14:paraId="69FC2E49"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spacing w:val="6"/>
          <w:sz w:val="24"/>
          <w:szCs w:val="24"/>
        </w:rPr>
      </w:pPr>
      <w:r w:rsidRPr="00E42D0F">
        <w:rPr>
          <w:rFonts w:ascii="Times New Roman" w:hAnsi="Times New Roman" w:cs="Times New Roman"/>
          <w:b/>
          <w:bCs/>
          <w:spacing w:val="6"/>
          <w:sz w:val="24"/>
          <w:szCs w:val="24"/>
        </w:rPr>
        <w:t>Остроухова Виктория Витальевна</w:t>
      </w:r>
      <w:r w:rsidRPr="00E42D0F">
        <w:rPr>
          <w:rFonts w:ascii="Times New Roman" w:hAnsi="Times New Roman" w:cs="Times New Roman"/>
          <w:spacing w:val="6"/>
          <w:sz w:val="24"/>
          <w:szCs w:val="24"/>
        </w:rPr>
        <w:t xml:space="preserve"> ПРИМЕНЕНИЕ ПРИНЦИПА «ЭСТОППЕЛЬ» В РОССИЙСКОЙ ФЕДЕРАЦИИ </w:t>
      </w:r>
      <w:r w:rsidRPr="00E42D0F">
        <w:rPr>
          <w:rFonts w:ascii="Times New Roman" w:hAnsi="Times New Roman" w:cs="Times New Roman"/>
          <w:spacing w:val="6"/>
          <w:sz w:val="24"/>
          <w:szCs w:val="24"/>
        </w:rPr>
        <w:tab/>
        <w:t>157</w:t>
      </w:r>
    </w:p>
    <w:p w14:paraId="0A888AED"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spacing w:val="6"/>
          <w:sz w:val="24"/>
          <w:szCs w:val="24"/>
        </w:rPr>
      </w:pPr>
      <w:r w:rsidRPr="00E42D0F">
        <w:rPr>
          <w:rFonts w:ascii="Times New Roman" w:hAnsi="Times New Roman" w:cs="Times New Roman"/>
          <w:b/>
          <w:bCs/>
          <w:spacing w:val="6"/>
          <w:sz w:val="24"/>
          <w:szCs w:val="24"/>
        </w:rPr>
        <w:t xml:space="preserve">Паланский Антон Владимирович </w:t>
      </w:r>
      <w:r w:rsidRPr="00E42D0F">
        <w:rPr>
          <w:rFonts w:ascii="Times New Roman" w:hAnsi="Times New Roman" w:cs="Times New Roman"/>
          <w:bCs/>
          <w:spacing w:val="6"/>
          <w:sz w:val="24"/>
          <w:szCs w:val="24"/>
        </w:rPr>
        <w:t xml:space="preserve">ОТСУТСТВИЕ СУЩЕСТВЕННЫХ УСЛОВИЙ ДОГОВОРА КАК ОСНОВАНИЕ ДЛЯ ЕГО ОСПАРИВАНИЯ </w:t>
      </w:r>
      <w:r w:rsidRPr="00E42D0F">
        <w:rPr>
          <w:rFonts w:ascii="Times New Roman" w:hAnsi="Times New Roman" w:cs="Times New Roman"/>
          <w:spacing w:val="6"/>
          <w:sz w:val="24"/>
          <w:szCs w:val="24"/>
        </w:rPr>
        <w:tab/>
        <w:t>162</w:t>
      </w:r>
    </w:p>
    <w:p w14:paraId="334668DC"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
          <w:bCs/>
          <w:spacing w:val="6"/>
          <w:sz w:val="24"/>
          <w:szCs w:val="24"/>
        </w:rPr>
      </w:pPr>
      <w:r w:rsidRPr="00E42D0F">
        <w:rPr>
          <w:rFonts w:ascii="Times New Roman" w:hAnsi="Times New Roman" w:cs="Times New Roman"/>
          <w:b/>
          <w:bCs/>
          <w:spacing w:val="6"/>
          <w:sz w:val="24"/>
          <w:szCs w:val="24"/>
        </w:rPr>
        <w:t xml:space="preserve">Камышанский Владимир Павлович, Пикалов Владислав Александрович </w:t>
      </w:r>
      <w:r w:rsidRPr="00E42D0F">
        <w:rPr>
          <w:rFonts w:ascii="Times New Roman" w:hAnsi="Times New Roman" w:cs="Times New Roman"/>
          <w:bCs/>
          <w:spacing w:val="6"/>
          <w:sz w:val="24"/>
          <w:szCs w:val="24"/>
        </w:rPr>
        <w:t xml:space="preserve">СДЕЛКА КАК СПОСОБ ВОЗНИКНОВЕНИЯ ГРАЖДАНСКИХ ПРАВ И ОБЯЗАННОСТЕЙ </w:t>
      </w:r>
      <w:r w:rsidRPr="00E42D0F">
        <w:rPr>
          <w:rFonts w:ascii="Times New Roman" w:hAnsi="Times New Roman" w:cs="Times New Roman"/>
          <w:bCs/>
          <w:spacing w:val="6"/>
          <w:sz w:val="24"/>
          <w:szCs w:val="24"/>
        </w:rPr>
        <w:tab/>
        <w:t>166</w:t>
      </w:r>
    </w:p>
    <w:p w14:paraId="2F3193B1"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
          <w:bCs/>
          <w:spacing w:val="6"/>
          <w:sz w:val="24"/>
          <w:szCs w:val="24"/>
        </w:rPr>
      </w:pPr>
      <w:r w:rsidRPr="00E42D0F">
        <w:rPr>
          <w:rFonts w:ascii="Times New Roman" w:hAnsi="Times New Roman" w:cs="Times New Roman"/>
          <w:b/>
          <w:bCs/>
          <w:spacing w:val="6"/>
          <w:sz w:val="24"/>
          <w:szCs w:val="24"/>
        </w:rPr>
        <w:t xml:space="preserve">Раганян Алина Эдуардовна </w:t>
      </w:r>
      <w:r w:rsidRPr="00E42D0F">
        <w:rPr>
          <w:rFonts w:ascii="Times New Roman" w:hAnsi="Times New Roman" w:cs="Times New Roman"/>
          <w:bCs/>
          <w:spacing w:val="6"/>
          <w:sz w:val="24"/>
          <w:szCs w:val="24"/>
        </w:rPr>
        <w:t>ПРАВО БЕССРОЧНОГО ПОЛЬЗОВАНИЯ ПРИВАТИЗИРОВАННЫМ ЖИЛЬЕМ</w:t>
      </w:r>
      <w:r w:rsidRPr="00E42D0F">
        <w:rPr>
          <w:rFonts w:ascii="Times New Roman" w:hAnsi="Times New Roman" w:cs="Times New Roman"/>
          <w:spacing w:val="6"/>
          <w:sz w:val="24"/>
          <w:szCs w:val="24"/>
        </w:rPr>
        <w:t xml:space="preserve"> </w:t>
      </w:r>
      <w:r w:rsidRPr="00E42D0F">
        <w:rPr>
          <w:rFonts w:ascii="Times New Roman" w:hAnsi="Times New Roman" w:cs="Times New Roman"/>
          <w:spacing w:val="6"/>
          <w:sz w:val="24"/>
          <w:szCs w:val="24"/>
        </w:rPr>
        <w:tab/>
        <w:t>170</w:t>
      </w:r>
    </w:p>
    <w:p w14:paraId="1BFBC9FD"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
          <w:bCs/>
          <w:spacing w:val="6"/>
          <w:sz w:val="24"/>
          <w:szCs w:val="24"/>
        </w:rPr>
      </w:pPr>
      <w:r w:rsidRPr="00E42D0F">
        <w:rPr>
          <w:rFonts w:ascii="Times New Roman" w:hAnsi="Times New Roman" w:cs="Times New Roman"/>
          <w:b/>
          <w:bCs/>
          <w:spacing w:val="6"/>
          <w:sz w:val="24"/>
          <w:szCs w:val="24"/>
        </w:rPr>
        <w:t xml:space="preserve">Рожкова Татьяна Сергеевна </w:t>
      </w:r>
      <w:r w:rsidRPr="00E42D0F">
        <w:rPr>
          <w:rFonts w:ascii="Times New Roman" w:hAnsi="Times New Roman" w:cs="Times New Roman"/>
          <w:bCs/>
          <w:spacing w:val="6"/>
          <w:sz w:val="24"/>
          <w:szCs w:val="24"/>
        </w:rPr>
        <w:t xml:space="preserve">О ТЕНДЕНЦИЯХ РАЗВИТИЯ ИНСТИТУТА ПРЕДСТАВИТЕЛЬСТВА </w:t>
      </w:r>
      <w:r w:rsidRPr="00E42D0F">
        <w:rPr>
          <w:rFonts w:ascii="Times New Roman" w:hAnsi="Times New Roman" w:cs="Times New Roman"/>
          <w:spacing w:val="6"/>
          <w:sz w:val="24"/>
          <w:szCs w:val="24"/>
        </w:rPr>
        <w:tab/>
        <w:t>175</w:t>
      </w:r>
    </w:p>
    <w:p w14:paraId="2580BCD6"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
          <w:bCs/>
          <w:spacing w:val="6"/>
          <w:sz w:val="24"/>
          <w:szCs w:val="24"/>
        </w:rPr>
      </w:pPr>
      <w:r w:rsidRPr="00E42D0F">
        <w:rPr>
          <w:rFonts w:ascii="Times New Roman" w:hAnsi="Times New Roman" w:cs="Times New Roman"/>
          <w:b/>
          <w:bCs/>
          <w:spacing w:val="6"/>
          <w:sz w:val="24"/>
          <w:szCs w:val="24"/>
        </w:rPr>
        <w:t xml:space="preserve">Самсонов Алексей Игоревич </w:t>
      </w:r>
      <w:r w:rsidRPr="00E42D0F">
        <w:rPr>
          <w:rFonts w:ascii="Times New Roman" w:hAnsi="Times New Roman" w:cs="Times New Roman"/>
          <w:bCs/>
          <w:spacing w:val="6"/>
          <w:sz w:val="24"/>
          <w:szCs w:val="24"/>
        </w:rPr>
        <w:t>КОЛЛИЗИИ В СЕМЕЙНЫХ ОТНОШЕНИЯХ, СВЯЗАННЫЕ С РАЗДЕЛОМ ОБЩЕГО ИМУЩЕСТВА СУПРУГОВ В СЕМЕЙНОМ И ГРАЖДАНСКОМ ЗАКОНОДАТЕЛЬСТВЕ</w:t>
      </w:r>
      <w:r w:rsidRPr="00E42D0F">
        <w:rPr>
          <w:rFonts w:ascii="Times New Roman" w:hAnsi="Times New Roman" w:cs="Times New Roman"/>
          <w:spacing w:val="6"/>
          <w:sz w:val="24"/>
          <w:szCs w:val="24"/>
        </w:rPr>
        <w:t xml:space="preserve"> </w:t>
      </w:r>
      <w:r w:rsidRPr="00E42D0F">
        <w:rPr>
          <w:rFonts w:ascii="Times New Roman" w:hAnsi="Times New Roman" w:cs="Times New Roman"/>
          <w:spacing w:val="6"/>
          <w:sz w:val="24"/>
          <w:szCs w:val="24"/>
        </w:rPr>
        <w:tab/>
        <w:t>179</w:t>
      </w:r>
    </w:p>
    <w:p w14:paraId="56D933FC"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
          <w:bCs/>
          <w:spacing w:val="6"/>
          <w:sz w:val="24"/>
          <w:szCs w:val="24"/>
        </w:rPr>
      </w:pPr>
      <w:r w:rsidRPr="00E42D0F">
        <w:rPr>
          <w:rFonts w:ascii="Times New Roman" w:hAnsi="Times New Roman" w:cs="Times New Roman"/>
          <w:b/>
          <w:bCs/>
          <w:spacing w:val="6"/>
          <w:sz w:val="24"/>
          <w:szCs w:val="24"/>
        </w:rPr>
        <w:t xml:space="preserve">Серая Наталья Александровна </w:t>
      </w:r>
      <w:r w:rsidRPr="00E42D0F">
        <w:rPr>
          <w:rFonts w:ascii="Times New Roman" w:hAnsi="Times New Roman" w:cs="Times New Roman"/>
          <w:bCs/>
          <w:spacing w:val="6"/>
          <w:sz w:val="24"/>
          <w:szCs w:val="24"/>
        </w:rPr>
        <w:t xml:space="preserve">ПРЕДЕЛЫ ПОЛНОМОЧИЙ И КОМПЕТЕНЦИИ ОРГАНОВ УПРАВЛЕНИЯ И СПЕЦИАЛИЗИРОВАННЫХ ОРГАНОВ СРО В СФЕРЕ СТРОИТЕЛЬСТВА ПРИ ОСУЩЕСТВЛЕНИИ КОНТРОЛЯ ЗА ДЕЯТЕЛЬНОСТЬЮ СВОИХ ЧЛЕНОВ </w:t>
      </w:r>
      <w:r w:rsidRPr="00E42D0F">
        <w:rPr>
          <w:rFonts w:ascii="Times New Roman" w:hAnsi="Times New Roman" w:cs="Times New Roman"/>
          <w:bCs/>
          <w:spacing w:val="6"/>
          <w:sz w:val="24"/>
          <w:szCs w:val="24"/>
        </w:rPr>
        <w:tab/>
        <w:t>184</w:t>
      </w:r>
    </w:p>
    <w:p w14:paraId="65AC2702"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spacing w:val="6"/>
          <w:sz w:val="24"/>
          <w:szCs w:val="24"/>
        </w:rPr>
      </w:pPr>
      <w:r w:rsidRPr="00E42D0F">
        <w:rPr>
          <w:rFonts w:ascii="Times New Roman" w:hAnsi="Times New Roman" w:cs="Times New Roman"/>
          <w:b/>
          <w:bCs/>
          <w:spacing w:val="6"/>
          <w:sz w:val="24"/>
          <w:szCs w:val="24"/>
        </w:rPr>
        <w:t>Слюсарев Андрей Владимирович</w:t>
      </w:r>
      <w:r w:rsidRPr="00E42D0F">
        <w:rPr>
          <w:rFonts w:ascii="Times New Roman" w:hAnsi="Times New Roman" w:cs="Times New Roman"/>
          <w:spacing w:val="6"/>
          <w:sz w:val="24"/>
          <w:szCs w:val="24"/>
        </w:rPr>
        <w:t xml:space="preserve"> ДОГОВОРНОЕ РЕГУЛИРОВАНИЕ ОТНОШЕНИЙ ПО СОЗДАНИЮ И ИСПОЛЬЗОВАНИЮ РЕЗУЛЬТАТОВ ИНТЕЛЛЕКТУАЛЬНОЙ ДЕЯТЕЛЬНОСТИ </w:t>
      </w:r>
      <w:r w:rsidRPr="00E42D0F">
        <w:rPr>
          <w:rFonts w:ascii="Times New Roman" w:hAnsi="Times New Roman" w:cs="Times New Roman"/>
          <w:spacing w:val="6"/>
          <w:sz w:val="24"/>
          <w:szCs w:val="24"/>
        </w:rPr>
        <w:tab/>
        <w:t>189</w:t>
      </w:r>
    </w:p>
    <w:p w14:paraId="1861571D"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Cs/>
          <w:spacing w:val="6"/>
          <w:sz w:val="24"/>
          <w:szCs w:val="24"/>
        </w:rPr>
      </w:pPr>
      <w:r w:rsidRPr="00E42D0F">
        <w:rPr>
          <w:rFonts w:ascii="Times New Roman" w:hAnsi="Times New Roman" w:cs="Times New Roman"/>
          <w:b/>
          <w:bCs/>
          <w:spacing w:val="6"/>
          <w:sz w:val="24"/>
          <w:szCs w:val="24"/>
        </w:rPr>
        <w:t>Степанян Евгения Кароевна</w:t>
      </w:r>
      <w:r w:rsidRPr="00E42D0F">
        <w:rPr>
          <w:rFonts w:ascii="Times New Roman" w:hAnsi="Times New Roman" w:cs="Times New Roman"/>
          <w:bCs/>
          <w:spacing w:val="6"/>
          <w:sz w:val="24"/>
          <w:szCs w:val="24"/>
        </w:rPr>
        <w:t xml:space="preserve"> </w:t>
      </w:r>
      <w:r w:rsidRPr="00E42D0F">
        <w:rPr>
          <w:rFonts w:ascii="Times New Roman" w:hAnsi="Times New Roman" w:cs="Times New Roman"/>
          <w:spacing w:val="6"/>
          <w:sz w:val="24"/>
          <w:szCs w:val="24"/>
        </w:rPr>
        <w:t xml:space="preserve">ПРАВОВЫЕ ПРОБЛЕМЫ СУРРОГАТНОГО МАТЕРИНСТВА В РФ </w:t>
      </w:r>
      <w:r w:rsidRPr="00E42D0F">
        <w:rPr>
          <w:rFonts w:ascii="Times New Roman" w:hAnsi="Times New Roman" w:cs="Times New Roman"/>
          <w:spacing w:val="6"/>
          <w:sz w:val="24"/>
          <w:szCs w:val="24"/>
        </w:rPr>
        <w:tab/>
        <w:t>193</w:t>
      </w:r>
    </w:p>
    <w:p w14:paraId="6957AFC6"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Cs/>
          <w:spacing w:val="6"/>
          <w:sz w:val="24"/>
          <w:szCs w:val="24"/>
        </w:rPr>
      </w:pPr>
      <w:r w:rsidRPr="00E42D0F">
        <w:rPr>
          <w:rFonts w:ascii="Times New Roman" w:hAnsi="Times New Roman" w:cs="Times New Roman"/>
          <w:b/>
          <w:bCs/>
          <w:spacing w:val="6"/>
          <w:sz w:val="24"/>
          <w:szCs w:val="24"/>
        </w:rPr>
        <w:t xml:space="preserve">Стружинская Оксана Сергеевна </w:t>
      </w:r>
      <w:r w:rsidRPr="00E42D0F">
        <w:rPr>
          <w:rFonts w:ascii="Times New Roman" w:hAnsi="Times New Roman" w:cs="Times New Roman"/>
          <w:bCs/>
          <w:spacing w:val="6"/>
          <w:sz w:val="24"/>
          <w:szCs w:val="24"/>
        </w:rPr>
        <w:t>САМОРЕГУЛИРОВАНИЕ В СФЕРЕ ЭКОЛОГИИ: ОЦЕНКА ЭКОЛОГИЧЕСКОЙ УСТОЙЧИВОСТИ РАЗВИТИЯ В РФ</w:t>
      </w:r>
      <w:r w:rsidRPr="00E42D0F">
        <w:rPr>
          <w:rFonts w:ascii="Times New Roman" w:hAnsi="Times New Roman" w:cs="Times New Roman"/>
          <w:bCs/>
          <w:spacing w:val="6"/>
          <w:sz w:val="24"/>
          <w:szCs w:val="24"/>
        </w:rPr>
        <w:tab/>
        <w:t>198</w:t>
      </w:r>
    </w:p>
    <w:p w14:paraId="63FF40A1"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
          <w:bCs/>
          <w:spacing w:val="6"/>
          <w:sz w:val="24"/>
          <w:szCs w:val="24"/>
        </w:rPr>
      </w:pPr>
      <w:r w:rsidRPr="00E42D0F">
        <w:rPr>
          <w:rFonts w:ascii="Times New Roman" w:hAnsi="Times New Roman" w:cs="Times New Roman"/>
          <w:b/>
          <w:bCs/>
          <w:spacing w:val="6"/>
          <w:sz w:val="24"/>
          <w:szCs w:val="24"/>
        </w:rPr>
        <w:lastRenderedPageBreak/>
        <w:t xml:space="preserve">Струкова Татьяна Александровна </w:t>
      </w:r>
      <w:r w:rsidRPr="00E42D0F">
        <w:rPr>
          <w:rFonts w:ascii="Times New Roman" w:hAnsi="Times New Roman" w:cs="Times New Roman"/>
          <w:bCs/>
          <w:spacing w:val="6"/>
          <w:sz w:val="24"/>
          <w:szCs w:val="24"/>
        </w:rPr>
        <w:t>К ВОПРОСУ О ЗНАЧЕНИИ МОТИВИРОВОЧНОЙ ЧАСТИ СУДЕБНОГО РЕШЕНИЯ</w:t>
      </w:r>
      <w:r w:rsidRPr="00E42D0F">
        <w:rPr>
          <w:rFonts w:ascii="Times New Roman" w:hAnsi="Times New Roman" w:cs="Times New Roman"/>
          <w:bCs/>
          <w:spacing w:val="6"/>
          <w:sz w:val="24"/>
          <w:szCs w:val="24"/>
        </w:rPr>
        <w:tab/>
        <w:t>203</w:t>
      </w:r>
    </w:p>
    <w:p w14:paraId="525F4A70"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
          <w:bCs/>
          <w:spacing w:val="6"/>
          <w:sz w:val="24"/>
          <w:szCs w:val="24"/>
        </w:rPr>
      </w:pPr>
      <w:r w:rsidRPr="00E42D0F">
        <w:rPr>
          <w:rFonts w:ascii="Times New Roman" w:hAnsi="Times New Roman" w:cs="Times New Roman"/>
          <w:b/>
          <w:bCs/>
          <w:spacing w:val="6"/>
          <w:sz w:val="24"/>
          <w:szCs w:val="24"/>
        </w:rPr>
        <w:t xml:space="preserve">Сулейманов Элгюн Элшадович </w:t>
      </w:r>
      <w:r w:rsidRPr="00E42D0F">
        <w:rPr>
          <w:rFonts w:ascii="Times New Roman" w:hAnsi="Times New Roman" w:cs="Times New Roman"/>
          <w:bCs/>
          <w:spacing w:val="6"/>
          <w:sz w:val="24"/>
          <w:szCs w:val="24"/>
        </w:rPr>
        <w:t xml:space="preserve">СЕМЕЙНОПРАВОВЫЕ СПОРЫ, СВЯЗАННЫЕ С РАЗДЕЛОМ ИМУЩЕСТВА СУПРУГОВ </w:t>
      </w:r>
      <w:r w:rsidRPr="00E42D0F">
        <w:rPr>
          <w:rFonts w:ascii="Times New Roman" w:hAnsi="Times New Roman" w:cs="Times New Roman"/>
          <w:bCs/>
          <w:spacing w:val="6"/>
          <w:sz w:val="24"/>
          <w:szCs w:val="24"/>
        </w:rPr>
        <w:tab/>
        <w:t>207</w:t>
      </w:r>
    </w:p>
    <w:p w14:paraId="2CB77E62"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
          <w:bCs/>
          <w:spacing w:val="6"/>
          <w:sz w:val="24"/>
          <w:szCs w:val="24"/>
        </w:rPr>
      </w:pPr>
      <w:r w:rsidRPr="00E42D0F">
        <w:rPr>
          <w:rFonts w:ascii="Times New Roman" w:hAnsi="Times New Roman" w:cs="Times New Roman"/>
          <w:b/>
          <w:bCs/>
          <w:spacing w:val="6"/>
          <w:sz w:val="24"/>
          <w:szCs w:val="24"/>
        </w:rPr>
        <w:t xml:space="preserve">Тищенко Владислав Сергеевич </w:t>
      </w:r>
      <w:r w:rsidRPr="00E42D0F">
        <w:rPr>
          <w:rFonts w:ascii="Times New Roman" w:hAnsi="Times New Roman" w:cs="Times New Roman"/>
          <w:bCs/>
          <w:spacing w:val="6"/>
          <w:sz w:val="24"/>
          <w:szCs w:val="24"/>
        </w:rPr>
        <w:t xml:space="preserve">ПРОБЛЕМЫ ОБЩЕЙ ДОЛЕВОЙ СОБСТВЕННОСТИ </w:t>
      </w:r>
      <w:r w:rsidRPr="00E42D0F">
        <w:rPr>
          <w:rFonts w:ascii="Times New Roman" w:hAnsi="Times New Roman" w:cs="Times New Roman"/>
          <w:spacing w:val="6"/>
          <w:sz w:val="24"/>
          <w:szCs w:val="24"/>
        </w:rPr>
        <w:t xml:space="preserve"> </w:t>
      </w:r>
      <w:r w:rsidRPr="00E42D0F">
        <w:rPr>
          <w:rFonts w:ascii="Times New Roman" w:hAnsi="Times New Roman" w:cs="Times New Roman"/>
          <w:spacing w:val="6"/>
          <w:sz w:val="24"/>
          <w:szCs w:val="24"/>
        </w:rPr>
        <w:tab/>
        <w:t>211</w:t>
      </w:r>
      <w:r w:rsidRPr="00E42D0F">
        <w:rPr>
          <w:rFonts w:ascii="Times New Roman" w:hAnsi="Times New Roman" w:cs="Times New Roman"/>
          <w:b/>
          <w:bCs/>
          <w:spacing w:val="6"/>
          <w:sz w:val="24"/>
          <w:szCs w:val="24"/>
        </w:rPr>
        <w:t xml:space="preserve">Хмельков Никита Владимирович </w:t>
      </w:r>
      <w:r w:rsidRPr="00E42D0F">
        <w:rPr>
          <w:rFonts w:ascii="Times New Roman" w:hAnsi="Times New Roman" w:cs="Times New Roman"/>
          <w:bCs/>
          <w:spacing w:val="6"/>
          <w:sz w:val="24"/>
          <w:szCs w:val="24"/>
        </w:rPr>
        <w:t>О НЕКОТОРЫХ АСПЕКТАХ РЕГИСТРАЦИОННЫХ СИСТЕМ ПРАВ НА НЕДВИЖИМОЕ ИМУЩЕСТВО И СДЕЛОК С НИМ</w:t>
      </w:r>
      <w:r w:rsidRPr="00E42D0F">
        <w:rPr>
          <w:rFonts w:ascii="Times New Roman" w:hAnsi="Times New Roman" w:cs="Times New Roman"/>
          <w:spacing w:val="6"/>
          <w:sz w:val="24"/>
          <w:szCs w:val="24"/>
        </w:rPr>
        <w:tab/>
        <w:t>216</w:t>
      </w:r>
    </w:p>
    <w:p w14:paraId="16784B53"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
          <w:bCs/>
          <w:spacing w:val="6"/>
          <w:sz w:val="24"/>
          <w:szCs w:val="24"/>
        </w:rPr>
      </w:pPr>
      <w:r w:rsidRPr="00E42D0F">
        <w:rPr>
          <w:rFonts w:ascii="Times New Roman" w:hAnsi="Times New Roman" w:cs="Times New Roman"/>
          <w:b/>
          <w:bCs/>
          <w:spacing w:val="6"/>
          <w:sz w:val="24"/>
          <w:szCs w:val="24"/>
        </w:rPr>
        <w:t xml:space="preserve">Царева Екатерина Дмитриевна </w:t>
      </w:r>
      <w:r w:rsidRPr="00E42D0F">
        <w:rPr>
          <w:rFonts w:ascii="Times New Roman" w:hAnsi="Times New Roman" w:cs="Times New Roman"/>
          <w:bCs/>
          <w:spacing w:val="6"/>
          <w:sz w:val="24"/>
          <w:szCs w:val="24"/>
        </w:rPr>
        <w:t>ИНСТИТУТ ФРАНЧАЙЗИНГА В ГРАЖДАНСКОМ ПРАВЕ: ПОНЯТИЕ, ОБЩАЯ ХАРАКТЕРИСТИКА, СОВРЕМЕННЫЕ ПРОБЛЕМЫ</w:t>
      </w:r>
      <w:r w:rsidRPr="00E42D0F">
        <w:rPr>
          <w:rFonts w:ascii="Times New Roman" w:hAnsi="Times New Roman" w:cs="Times New Roman"/>
          <w:bCs/>
          <w:spacing w:val="6"/>
          <w:sz w:val="24"/>
          <w:szCs w:val="24"/>
        </w:rPr>
        <w:tab/>
        <w:t>221</w:t>
      </w:r>
    </w:p>
    <w:p w14:paraId="1FEE5AD6"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
          <w:bCs/>
          <w:spacing w:val="6"/>
          <w:sz w:val="24"/>
          <w:szCs w:val="24"/>
        </w:rPr>
      </w:pPr>
      <w:r w:rsidRPr="00E42D0F">
        <w:rPr>
          <w:rFonts w:ascii="Times New Roman" w:hAnsi="Times New Roman" w:cs="Times New Roman"/>
          <w:b/>
          <w:bCs/>
          <w:spacing w:val="6"/>
          <w:sz w:val="24"/>
          <w:szCs w:val="24"/>
        </w:rPr>
        <w:t xml:space="preserve">Чепак Дарья Дмитриевна </w:t>
      </w:r>
      <w:r w:rsidRPr="00E42D0F">
        <w:rPr>
          <w:rFonts w:ascii="Times New Roman" w:hAnsi="Times New Roman" w:cs="Times New Roman"/>
          <w:bCs/>
          <w:spacing w:val="6"/>
          <w:sz w:val="24"/>
          <w:szCs w:val="24"/>
        </w:rPr>
        <w:t xml:space="preserve">КОМПЕНСАЦИЯ МОРАЛЬНОГО ВРЕДА КАК СПОСОБ ЗАЩИТЫ ГРАЖДАНСКИХ ПРАВ </w:t>
      </w:r>
      <w:r w:rsidRPr="00E42D0F">
        <w:rPr>
          <w:rFonts w:ascii="Times New Roman" w:hAnsi="Times New Roman" w:cs="Times New Roman"/>
          <w:bCs/>
          <w:spacing w:val="6"/>
          <w:sz w:val="24"/>
          <w:szCs w:val="24"/>
        </w:rPr>
        <w:tab/>
        <w:t>226</w:t>
      </w:r>
    </w:p>
    <w:p w14:paraId="161F999D"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
          <w:bCs/>
          <w:spacing w:val="6"/>
          <w:sz w:val="24"/>
          <w:szCs w:val="24"/>
        </w:rPr>
      </w:pPr>
      <w:r w:rsidRPr="00E42D0F">
        <w:rPr>
          <w:rFonts w:ascii="Times New Roman" w:hAnsi="Times New Roman" w:cs="Times New Roman"/>
          <w:b/>
          <w:bCs/>
          <w:spacing w:val="6"/>
          <w:sz w:val="24"/>
          <w:szCs w:val="24"/>
        </w:rPr>
        <w:t xml:space="preserve">Чернышева Софья Александровна </w:t>
      </w:r>
      <w:r w:rsidRPr="00E42D0F">
        <w:rPr>
          <w:rFonts w:ascii="Times New Roman" w:hAnsi="Times New Roman" w:cs="Times New Roman"/>
          <w:bCs/>
          <w:spacing w:val="6"/>
          <w:sz w:val="24"/>
          <w:szCs w:val="24"/>
        </w:rPr>
        <w:t xml:space="preserve">ВИДЫ АФФИЛИРОВАННЫХ ЛИЦ </w:t>
      </w:r>
      <w:r w:rsidRPr="00E42D0F">
        <w:rPr>
          <w:rFonts w:ascii="Times New Roman" w:hAnsi="Times New Roman" w:cs="Times New Roman"/>
          <w:bCs/>
          <w:spacing w:val="6"/>
          <w:sz w:val="24"/>
          <w:szCs w:val="24"/>
        </w:rPr>
        <w:tab/>
        <w:t>231</w:t>
      </w:r>
    </w:p>
    <w:p w14:paraId="5554D5A7"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
          <w:bCs/>
          <w:spacing w:val="6"/>
          <w:sz w:val="24"/>
          <w:szCs w:val="24"/>
        </w:rPr>
      </w:pPr>
      <w:r w:rsidRPr="00E42D0F">
        <w:rPr>
          <w:rFonts w:ascii="Times New Roman" w:hAnsi="Times New Roman" w:cs="Times New Roman"/>
          <w:b/>
          <w:bCs/>
          <w:spacing w:val="6"/>
          <w:sz w:val="24"/>
          <w:szCs w:val="24"/>
        </w:rPr>
        <w:t xml:space="preserve">Шахова Алина Максимовна, Новикова Светлана Викторовна </w:t>
      </w:r>
      <w:r w:rsidRPr="00E42D0F">
        <w:rPr>
          <w:rFonts w:ascii="Times New Roman" w:hAnsi="Times New Roman" w:cs="Times New Roman"/>
          <w:bCs/>
          <w:spacing w:val="6"/>
          <w:sz w:val="24"/>
          <w:szCs w:val="24"/>
        </w:rPr>
        <w:t xml:space="preserve">СОЦИАЛЬНОИСТОРИЧЕСКИЕ И ПРАВОВЫЕ ОСОБЕННОСТИ СТАНОВЛЕНИЯ ИНСТИТУТА РЕНТНЫХ ОТНОШЕНИЯ В РОССИИ </w:t>
      </w:r>
      <w:r w:rsidRPr="00E42D0F">
        <w:rPr>
          <w:rFonts w:ascii="Times New Roman" w:hAnsi="Times New Roman" w:cs="Times New Roman"/>
          <w:bCs/>
          <w:spacing w:val="6"/>
          <w:sz w:val="24"/>
          <w:szCs w:val="24"/>
        </w:rPr>
        <w:tab/>
        <w:t>235</w:t>
      </w:r>
    </w:p>
    <w:p w14:paraId="32955BA8"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
          <w:bCs/>
          <w:spacing w:val="6"/>
          <w:sz w:val="24"/>
          <w:szCs w:val="24"/>
        </w:rPr>
      </w:pPr>
      <w:r w:rsidRPr="00E42D0F">
        <w:rPr>
          <w:rFonts w:ascii="Times New Roman" w:hAnsi="Times New Roman" w:cs="Times New Roman"/>
          <w:b/>
          <w:bCs/>
          <w:spacing w:val="6"/>
          <w:sz w:val="24"/>
          <w:szCs w:val="24"/>
        </w:rPr>
        <w:t xml:space="preserve">Щербаков Александр Валерьевич </w:t>
      </w:r>
      <w:r w:rsidRPr="00E42D0F">
        <w:rPr>
          <w:rFonts w:ascii="Times New Roman" w:hAnsi="Times New Roman" w:cs="Times New Roman"/>
          <w:bCs/>
          <w:spacing w:val="6"/>
          <w:sz w:val="24"/>
          <w:szCs w:val="24"/>
        </w:rPr>
        <w:t xml:space="preserve">ПОНЯТИЕ ОСПАРИВАЕМЫХ СДЕЛОК ДОЛЖНИКА В ПРОЦЕДУРАХ НЕСОСТОЯТЕЛЬНОСТИ (БАНКРОТСТВА) ЮРИДИЧЕСКИХ ЛИЦ </w:t>
      </w:r>
      <w:r w:rsidRPr="00E42D0F">
        <w:rPr>
          <w:rFonts w:ascii="Times New Roman" w:hAnsi="Times New Roman" w:cs="Times New Roman"/>
          <w:bCs/>
          <w:spacing w:val="6"/>
          <w:sz w:val="24"/>
          <w:szCs w:val="24"/>
        </w:rPr>
        <w:tab/>
        <w:t>239</w:t>
      </w:r>
    </w:p>
    <w:p w14:paraId="26EA1CC4"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
          <w:bCs/>
          <w:spacing w:val="6"/>
          <w:sz w:val="24"/>
          <w:szCs w:val="24"/>
        </w:rPr>
      </w:pPr>
      <w:r w:rsidRPr="00E42D0F">
        <w:rPr>
          <w:rFonts w:ascii="Times New Roman" w:hAnsi="Times New Roman" w:cs="Times New Roman"/>
          <w:b/>
          <w:bCs/>
          <w:spacing w:val="6"/>
          <w:sz w:val="24"/>
          <w:szCs w:val="24"/>
        </w:rPr>
        <w:t xml:space="preserve">Щимаев Расул Омарович, </w:t>
      </w:r>
      <w:r w:rsidRPr="00E42D0F">
        <w:rPr>
          <w:rFonts w:ascii="Times New Roman" w:hAnsi="Times New Roman" w:cs="Times New Roman"/>
          <w:b/>
          <w:sz w:val="24"/>
          <w:szCs w:val="24"/>
        </w:rPr>
        <w:t>Шеховцова Анна Семеновна</w:t>
      </w:r>
      <w:r w:rsidRPr="00E42D0F">
        <w:rPr>
          <w:rFonts w:ascii="Times New Roman" w:hAnsi="Times New Roman" w:cs="Times New Roman"/>
          <w:b/>
          <w:bCs/>
          <w:spacing w:val="6"/>
          <w:sz w:val="24"/>
          <w:szCs w:val="24"/>
        </w:rPr>
        <w:t xml:space="preserve"> </w:t>
      </w:r>
      <w:r w:rsidRPr="00E42D0F">
        <w:rPr>
          <w:rFonts w:ascii="Times New Roman" w:hAnsi="Times New Roman" w:cs="Times New Roman"/>
          <w:bCs/>
          <w:spacing w:val="6"/>
          <w:sz w:val="24"/>
          <w:szCs w:val="24"/>
        </w:rPr>
        <w:t>ПРИНЦИП СВОБОДЫ ДОГОВОРА В ГРАЖДАНСКОМ ПРАВЕ РФ</w:t>
      </w:r>
      <w:r w:rsidRPr="00E42D0F">
        <w:rPr>
          <w:rFonts w:ascii="Times New Roman" w:hAnsi="Times New Roman" w:cs="Times New Roman"/>
          <w:spacing w:val="6"/>
          <w:sz w:val="24"/>
          <w:szCs w:val="24"/>
        </w:rPr>
        <w:t xml:space="preserve"> </w:t>
      </w:r>
      <w:r w:rsidRPr="00E42D0F">
        <w:rPr>
          <w:rFonts w:ascii="Times New Roman" w:hAnsi="Times New Roman" w:cs="Times New Roman"/>
          <w:spacing w:val="6"/>
          <w:sz w:val="24"/>
          <w:szCs w:val="24"/>
        </w:rPr>
        <w:tab/>
        <w:t>244</w:t>
      </w:r>
    </w:p>
    <w:p w14:paraId="037469E9" w14:textId="77777777" w:rsidR="00E91627" w:rsidRPr="00E42D0F" w:rsidRDefault="00E91627" w:rsidP="00E91627">
      <w:pPr>
        <w:shd w:val="clear" w:color="auto" w:fill="FFFFFF"/>
        <w:tabs>
          <w:tab w:val="left" w:leader="dot" w:pos="9356"/>
        </w:tabs>
        <w:spacing w:after="240" w:line="300" w:lineRule="auto"/>
        <w:ind w:right="-143"/>
        <w:jc w:val="both"/>
        <w:rPr>
          <w:rFonts w:ascii="Times New Roman" w:hAnsi="Times New Roman" w:cs="Times New Roman"/>
          <w:b/>
          <w:sz w:val="24"/>
          <w:szCs w:val="24"/>
        </w:rPr>
        <w:sectPr w:rsidR="00E91627" w:rsidRPr="00E42D0F" w:rsidSect="00DE0826">
          <w:footerReference w:type="default" r:id="rId9"/>
          <w:footnotePr>
            <w:numRestart w:val="eachPage"/>
          </w:footnotePr>
          <w:pgSz w:w="11906" w:h="16838"/>
          <w:pgMar w:top="1134" w:right="1134" w:bottom="1134" w:left="1134" w:header="709" w:footer="709" w:gutter="0"/>
          <w:cols w:space="708"/>
          <w:titlePg/>
          <w:docGrid w:linePitch="360"/>
        </w:sectPr>
      </w:pPr>
      <w:r w:rsidRPr="00E42D0F">
        <w:rPr>
          <w:rFonts w:ascii="Times New Roman" w:hAnsi="Times New Roman" w:cs="Times New Roman"/>
          <w:b/>
          <w:sz w:val="24"/>
          <w:szCs w:val="24"/>
        </w:rPr>
        <w:t xml:space="preserve">Юсим Юлия Михайловна, Сапфирова Полина Александровна </w:t>
      </w:r>
      <w:r w:rsidRPr="00E42D0F">
        <w:rPr>
          <w:rFonts w:ascii="Times New Roman" w:hAnsi="Times New Roman" w:cs="Times New Roman"/>
          <w:bCs/>
          <w:spacing w:val="6"/>
          <w:sz w:val="24"/>
          <w:szCs w:val="24"/>
        </w:rPr>
        <w:t>ЗАНЯТОСТЬ В ОРГАНИЗАЦИЯХ АГРОПРОМЫШЛЕННОГО КОМПЛЕКСА НА УСЛОВИЯХ САМОСТОЯТЕЛЬНОГО ОБЕСПЕЧЕНИЯ РАБОТОЙ ИЛИ ЗАКЛЮЧЕНИЯ ТРУДОВОГО ДОГОВОРА: ОСОБЕННОСТИ ПРАВОВОГО РЕГУЛИРОВАНИЯ</w:t>
      </w:r>
      <w:r w:rsidRPr="00E42D0F">
        <w:rPr>
          <w:rFonts w:ascii="Times New Roman" w:hAnsi="Times New Roman" w:cs="Times New Roman"/>
          <w:spacing w:val="6"/>
          <w:sz w:val="24"/>
          <w:szCs w:val="24"/>
        </w:rPr>
        <w:tab/>
        <w:t>249</w:t>
      </w:r>
    </w:p>
    <w:p w14:paraId="551AF125" w14:textId="77777777" w:rsidR="001B6C3B" w:rsidRDefault="001B6C3B" w:rsidP="001B6C3B">
      <w:pPr>
        <w:spacing w:after="0" w:line="240" w:lineRule="auto"/>
        <w:ind w:left="4962"/>
        <w:jc w:val="both"/>
        <w:rPr>
          <w:rFonts w:ascii="Times New Roman" w:hAnsi="Times New Roman" w:cs="Times New Roman"/>
          <w:b/>
          <w:sz w:val="24"/>
          <w:szCs w:val="24"/>
        </w:rPr>
      </w:pPr>
      <w:r>
        <w:rPr>
          <w:rFonts w:ascii="Times New Roman" w:hAnsi="Times New Roman" w:cs="Times New Roman"/>
          <w:b/>
          <w:sz w:val="24"/>
          <w:szCs w:val="24"/>
        </w:rPr>
        <w:lastRenderedPageBreak/>
        <w:t>УДК 347.9</w:t>
      </w:r>
    </w:p>
    <w:p w14:paraId="05A1EDDD" w14:textId="77777777" w:rsidR="001B6C3B" w:rsidRDefault="001B6C3B" w:rsidP="001B6C3B">
      <w:pPr>
        <w:spacing w:after="0" w:line="240" w:lineRule="auto"/>
        <w:ind w:left="4962"/>
        <w:jc w:val="both"/>
        <w:rPr>
          <w:rFonts w:ascii="Times New Roman" w:hAnsi="Times New Roman" w:cs="Times New Roman"/>
          <w:b/>
          <w:sz w:val="24"/>
          <w:szCs w:val="24"/>
        </w:rPr>
      </w:pPr>
    </w:p>
    <w:p w14:paraId="302EED76" w14:textId="77777777" w:rsidR="001B6C3B" w:rsidRDefault="001B6C3B" w:rsidP="001B6C3B">
      <w:pPr>
        <w:spacing w:after="0" w:line="240" w:lineRule="auto"/>
        <w:ind w:left="4962"/>
        <w:jc w:val="both"/>
        <w:rPr>
          <w:rFonts w:ascii="Times New Roman" w:hAnsi="Times New Roman" w:cs="Times New Roman"/>
          <w:b/>
          <w:sz w:val="24"/>
          <w:szCs w:val="24"/>
        </w:rPr>
      </w:pPr>
      <w:r>
        <w:rPr>
          <w:rFonts w:ascii="Times New Roman" w:hAnsi="Times New Roman" w:cs="Times New Roman"/>
          <w:b/>
          <w:sz w:val="24"/>
          <w:szCs w:val="24"/>
        </w:rPr>
        <w:t>Аксариди Парфена Николаевна</w:t>
      </w:r>
    </w:p>
    <w:p w14:paraId="135887DC" w14:textId="77777777" w:rsidR="001B6C3B" w:rsidRDefault="001B6C3B" w:rsidP="001B6C3B">
      <w:pPr>
        <w:spacing w:after="0" w:line="240" w:lineRule="auto"/>
        <w:ind w:left="4962"/>
        <w:jc w:val="both"/>
        <w:rPr>
          <w:rFonts w:ascii="Times New Roman" w:hAnsi="Times New Roman" w:cs="Times New Roman"/>
          <w:b/>
          <w:sz w:val="24"/>
          <w:szCs w:val="24"/>
        </w:rPr>
      </w:pPr>
      <w:r>
        <w:rPr>
          <w:rFonts w:ascii="Times New Roman" w:hAnsi="Times New Roman" w:cs="Times New Roman"/>
          <w:b/>
          <w:sz w:val="24"/>
          <w:szCs w:val="24"/>
        </w:rPr>
        <w:t>Aksaridi Parfena Nikolaevna</w:t>
      </w:r>
    </w:p>
    <w:p w14:paraId="4660BB0B" w14:textId="77777777" w:rsidR="001B6C3B" w:rsidRDefault="001B6C3B" w:rsidP="001B6C3B">
      <w:pPr>
        <w:spacing w:after="0" w:line="240" w:lineRule="auto"/>
        <w:ind w:left="4962"/>
        <w:jc w:val="both"/>
        <w:rPr>
          <w:rFonts w:ascii="Times New Roman" w:hAnsi="Times New Roman" w:cs="Times New Roman"/>
          <w:sz w:val="24"/>
          <w:szCs w:val="24"/>
        </w:rPr>
      </w:pPr>
      <w:r>
        <w:rPr>
          <w:rFonts w:ascii="Times New Roman" w:hAnsi="Times New Roman" w:cs="Times New Roman"/>
          <w:sz w:val="24"/>
          <w:szCs w:val="24"/>
        </w:rPr>
        <w:t>бакалавр Федеральное государственное бюджетное образовательное учреждение высшего образования «Кубанский государственный аграрный университет имени И.Т. Трубилина»</w:t>
      </w:r>
    </w:p>
    <w:p w14:paraId="07F470B6" w14:textId="77777777" w:rsidR="001B6C3B" w:rsidRDefault="001B6C3B" w:rsidP="001B6C3B">
      <w:pPr>
        <w:spacing w:after="0" w:line="240" w:lineRule="auto"/>
        <w:ind w:left="4962"/>
        <w:jc w:val="both"/>
        <w:rPr>
          <w:rFonts w:ascii="Times New Roman" w:hAnsi="Times New Roman" w:cs="Times New Roman"/>
          <w:sz w:val="24"/>
          <w:szCs w:val="24"/>
          <w:lang w:val="en-US"/>
        </w:rPr>
      </w:pPr>
      <w:r>
        <w:rPr>
          <w:rFonts w:ascii="Times New Roman" w:hAnsi="Times New Roman" w:cs="Times New Roman"/>
          <w:sz w:val="24"/>
          <w:szCs w:val="24"/>
          <w:lang w:val="en-US"/>
        </w:rPr>
        <w:t>Federal State Budgetary Educational Institution of Higher Education</w:t>
      </w:r>
    </w:p>
    <w:p w14:paraId="4794B62E" w14:textId="77777777" w:rsidR="001B6C3B" w:rsidRDefault="001B6C3B" w:rsidP="001B6C3B">
      <w:pPr>
        <w:spacing w:after="0" w:line="240" w:lineRule="auto"/>
        <w:ind w:left="4962"/>
        <w:jc w:val="both"/>
        <w:rPr>
          <w:rFonts w:ascii="Times New Roman" w:hAnsi="Times New Roman" w:cs="Times New Roman"/>
          <w:sz w:val="24"/>
          <w:szCs w:val="24"/>
          <w:lang w:val="en-US"/>
        </w:rPr>
      </w:pPr>
      <w:r>
        <w:rPr>
          <w:rFonts w:ascii="Times New Roman" w:hAnsi="Times New Roman" w:cs="Times New Roman"/>
          <w:sz w:val="24"/>
          <w:szCs w:val="24"/>
          <w:lang w:val="en-US"/>
        </w:rPr>
        <w:t>“Kuban State Agrarian University named after I.T. Trubilin”</w:t>
      </w:r>
    </w:p>
    <w:p w14:paraId="2F1DE82A" w14:textId="77777777" w:rsidR="001B6C3B" w:rsidRDefault="001B6C3B" w:rsidP="001B6C3B">
      <w:pPr>
        <w:spacing w:after="0" w:line="240" w:lineRule="auto"/>
        <w:ind w:left="4962"/>
        <w:jc w:val="both"/>
        <w:rPr>
          <w:rFonts w:ascii="Times New Roman" w:hAnsi="Times New Roman" w:cs="Times New Roman"/>
          <w:sz w:val="24"/>
          <w:szCs w:val="24"/>
        </w:rPr>
      </w:pPr>
      <w:r>
        <w:rPr>
          <w:rFonts w:ascii="Times New Roman" w:hAnsi="Times New Roman" w:cs="Times New Roman"/>
          <w:sz w:val="24"/>
          <w:szCs w:val="24"/>
        </w:rPr>
        <w:t>Российская Федерация, г. Краснодар</w:t>
      </w:r>
    </w:p>
    <w:p w14:paraId="29606ADA" w14:textId="77777777" w:rsidR="001B6C3B" w:rsidRDefault="001B6C3B" w:rsidP="001B6C3B">
      <w:pPr>
        <w:spacing w:after="0" w:line="240" w:lineRule="auto"/>
        <w:ind w:left="4962"/>
        <w:jc w:val="both"/>
        <w:rPr>
          <w:rFonts w:ascii="Times New Roman" w:hAnsi="Times New Roman" w:cs="Times New Roman"/>
          <w:sz w:val="24"/>
          <w:szCs w:val="24"/>
        </w:rPr>
      </w:pPr>
      <w:r>
        <w:rPr>
          <w:rFonts w:ascii="Times New Roman" w:hAnsi="Times New Roman" w:cs="Times New Roman"/>
          <w:sz w:val="24"/>
          <w:szCs w:val="24"/>
        </w:rPr>
        <w:t>Russian Federation, Krasnodar</w:t>
      </w:r>
    </w:p>
    <w:p w14:paraId="72EFEDA2" w14:textId="77777777" w:rsidR="001B6C3B" w:rsidRDefault="00EE7838" w:rsidP="001B6C3B">
      <w:pPr>
        <w:spacing w:after="0" w:line="240" w:lineRule="auto"/>
        <w:ind w:left="4962"/>
        <w:jc w:val="both"/>
        <w:rPr>
          <w:rFonts w:ascii="Times New Roman" w:hAnsi="Times New Roman" w:cs="Times New Roman"/>
          <w:sz w:val="24"/>
          <w:szCs w:val="24"/>
        </w:rPr>
      </w:pPr>
      <w:hyperlink r:id="rId10" w:history="1">
        <w:r w:rsidR="001B6C3B">
          <w:rPr>
            <w:rStyle w:val="a9"/>
            <w:rFonts w:ascii="Times New Roman" w:hAnsi="Times New Roman" w:cs="Times New Roman"/>
            <w:sz w:val="24"/>
            <w:szCs w:val="24"/>
            <w:lang w:val="en-US"/>
          </w:rPr>
          <w:t>a</w:t>
        </w:r>
        <w:r w:rsidR="001B6C3B">
          <w:rPr>
            <w:rStyle w:val="a9"/>
            <w:rFonts w:ascii="Times New Roman" w:hAnsi="Times New Roman" w:cs="Times New Roman"/>
            <w:sz w:val="24"/>
            <w:szCs w:val="24"/>
          </w:rPr>
          <w:t>_</w:t>
        </w:r>
        <w:r w:rsidR="001B6C3B">
          <w:rPr>
            <w:rStyle w:val="a9"/>
            <w:rFonts w:ascii="Times New Roman" w:hAnsi="Times New Roman" w:cs="Times New Roman"/>
            <w:sz w:val="24"/>
            <w:szCs w:val="24"/>
            <w:lang w:val="en-US"/>
          </w:rPr>
          <w:t>parfena</w:t>
        </w:r>
        <w:r w:rsidR="001B6C3B">
          <w:rPr>
            <w:rStyle w:val="a9"/>
            <w:rFonts w:ascii="Times New Roman" w:hAnsi="Times New Roman" w:cs="Times New Roman"/>
            <w:sz w:val="24"/>
            <w:szCs w:val="24"/>
          </w:rPr>
          <w:t>@</w:t>
        </w:r>
        <w:r w:rsidR="001B6C3B">
          <w:rPr>
            <w:rStyle w:val="a9"/>
            <w:rFonts w:ascii="Times New Roman" w:hAnsi="Times New Roman" w:cs="Times New Roman"/>
            <w:sz w:val="24"/>
            <w:szCs w:val="24"/>
            <w:lang w:val="en-US"/>
          </w:rPr>
          <w:t>mail</w:t>
        </w:r>
        <w:r w:rsidR="001B6C3B">
          <w:rPr>
            <w:rStyle w:val="a9"/>
            <w:rFonts w:ascii="Times New Roman" w:hAnsi="Times New Roman" w:cs="Times New Roman"/>
            <w:sz w:val="24"/>
            <w:szCs w:val="24"/>
          </w:rPr>
          <w:t>.</w:t>
        </w:r>
        <w:r w:rsidR="001B6C3B">
          <w:rPr>
            <w:rStyle w:val="a9"/>
            <w:rFonts w:ascii="Times New Roman" w:hAnsi="Times New Roman" w:cs="Times New Roman"/>
            <w:sz w:val="24"/>
            <w:szCs w:val="24"/>
            <w:lang w:val="en-US"/>
          </w:rPr>
          <w:t>ru</w:t>
        </w:r>
      </w:hyperlink>
    </w:p>
    <w:p w14:paraId="797C41C8" w14:textId="77777777" w:rsidR="001B6C3B" w:rsidRDefault="001B6C3B" w:rsidP="001B6C3B">
      <w:pPr>
        <w:spacing w:after="0" w:line="240" w:lineRule="auto"/>
        <w:ind w:left="4962"/>
        <w:jc w:val="both"/>
        <w:rPr>
          <w:rFonts w:ascii="Times New Roman" w:hAnsi="Times New Roman" w:cs="Times New Roman"/>
          <w:sz w:val="24"/>
          <w:szCs w:val="24"/>
        </w:rPr>
      </w:pPr>
    </w:p>
    <w:p w14:paraId="2EF47F15" w14:textId="77777777" w:rsidR="001B6C3B" w:rsidRDefault="001B6C3B" w:rsidP="001B6C3B">
      <w:pPr>
        <w:spacing w:after="0" w:line="240" w:lineRule="auto"/>
        <w:ind w:firstLine="709"/>
        <w:jc w:val="both"/>
        <w:rPr>
          <w:rFonts w:ascii="Times New Roman" w:hAnsi="Times New Roman" w:cs="Times New Roman"/>
          <w:sz w:val="24"/>
          <w:szCs w:val="24"/>
        </w:rPr>
      </w:pPr>
    </w:p>
    <w:p w14:paraId="74BC11FB" w14:textId="77777777" w:rsidR="001B6C3B" w:rsidRDefault="001B6C3B" w:rsidP="001B6C3B">
      <w:pPr>
        <w:spacing w:after="0" w:line="240" w:lineRule="auto"/>
        <w:ind w:firstLine="709"/>
        <w:jc w:val="center"/>
        <w:rPr>
          <w:rFonts w:ascii="Times New Roman" w:hAnsi="Times New Roman" w:cs="Times New Roman"/>
          <w:b/>
          <w:sz w:val="24"/>
          <w:szCs w:val="24"/>
        </w:rPr>
      </w:pPr>
      <w:r>
        <w:rPr>
          <w:rFonts w:ascii="Times New Roman" w:hAnsi="Times New Roman" w:cs="Times New Roman"/>
          <w:b/>
          <w:sz w:val="24"/>
          <w:szCs w:val="24"/>
        </w:rPr>
        <w:t>ПРИНЦИП ДИСПОЗИТИВНОСТИ И ПРОЦЕССУАЛЬНАЯ АКТИВНОСТЬ СУДА: СОЧЕТАНИЕ В АДМИНИСТРАТИВНОМ СУДОПРОИЗВОДСТВЕ</w:t>
      </w:r>
    </w:p>
    <w:p w14:paraId="6E0AC3B7" w14:textId="77777777" w:rsidR="001B6C3B" w:rsidRDefault="001B6C3B" w:rsidP="001B6C3B">
      <w:pPr>
        <w:spacing w:after="0" w:line="240" w:lineRule="auto"/>
        <w:ind w:firstLine="709"/>
        <w:jc w:val="center"/>
        <w:rPr>
          <w:rFonts w:ascii="Times New Roman" w:hAnsi="Times New Roman" w:cs="Times New Roman"/>
          <w:b/>
          <w:sz w:val="24"/>
          <w:szCs w:val="24"/>
        </w:rPr>
      </w:pPr>
    </w:p>
    <w:p w14:paraId="2E03354C" w14:textId="77777777" w:rsidR="001B6C3B" w:rsidRDefault="001B6C3B" w:rsidP="001B6C3B">
      <w:pPr>
        <w:spacing w:after="0" w:line="240" w:lineRule="auto"/>
        <w:ind w:firstLine="709"/>
        <w:jc w:val="center"/>
        <w:rPr>
          <w:rFonts w:ascii="Times New Roman" w:hAnsi="Times New Roman" w:cs="Times New Roman"/>
          <w:b/>
          <w:sz w:val="24"/>
          <w:szCs w:val="24"/>
          <w:lang w:val="en-US"/>
        </w:rPr>
      </w:pPr>
      <w:r>
        <w:rPr>
          <w:rFonts w:ascii="Times New Roman" w:hAnsi="Times New Roman" w:cs="Times New Roman"/>
          <w:b/>
          <w:sz w:val="24"/>
          <w:szCs w:val="24"/>
          <w:lang w:val="en-US"/>
        </w:rPr>
        <w:t>PRINCIPLE OF DISPOSITIVITY AND PROCEDURAL ACTIVITY OF THE COURT:</w:t>
      </w:r>
    </w:p>
    <w:p w14:paraId="4C207B27" w14:textId="77777777" w:rsidR="001B6C3B" w:rsidRDefault="001B6C3B" w:rsidP="001B6C3B">
      <w:pPr>
        <w:spacing w:after="0" w:line="240" w:lineRule="auto"/>
        <w:ind w:firstLine="709"/>
        <w:jc w:val="center"/>
        <w:rPr>
          <w:rFonts w:ascii="Times New Roman" w:hAnsi="Times New Roman" w:cs="Times New Roman"/>
          <w:b/>
          <w:sz w:val="24"/>
          <w:szCs w:val="24"/>
        </w:rPr>
      </w:pPr>
      <w:r>
        <w:rPr>
          <w:rFonts w:ascii="Times New Roman" w:hAnsi="Times New Roman" w:cs="Times New Roman"/>
          <w:b/>
          <w:sz w:val="24"/>
          <w:szCs w:val="24"/>
          <w:lang w:val="en-US"/>
        </w:rPr>
        <w:t>COMBINATION</w:t>
      </w:r>
      <w:r w:rsidRPr="001B6C3B">
        <w:rPr>
          <w:rFonts w:ascii="Times New Roman" w:hAnsi="Times New Roman" w:cs="Times New Roman"/>
          <w:b/>
          <w:sz w:val="24"/>
          <w:szCs w:val="24"/>
        </w:rPr>
        <w:t xml:space="preserve"> </w:t>
      </w:r>
      <w:r>
        <w:rPr>
          <w:rFonts w:ascii="Times New Roman" w:hAnsi="Times New Roman" w:cs="Times New Roman"/>
          <w:b/>
          <w:sz w:val="24"/>
          <w:szCs w:val="24"/>
          <w:lang w:val="en-US"/>
        </w:rPr>
        <w:t>IN</w:t>
      </w:r>
      <w:r w:rsidRPr="001B6C3B">
        <w:rPr>
          <w:rFonts w:ascii="Times New Roman" w:hAnsi="Times New Roman" w:cs="Times New Roman"/>
          <w:b/>
          <w:sz w:val="24"/>
          <w:szCs w:val="24"/>
        </w:rPr>
        <w:t xml:space="preserve"> </w:t>
      </w:r>
      <w:r>
        <w:rPr>
          <w:rFonts w:ascii="Times New Roman" w:hAnsi="Times New Roman" w:cs="Times New Roman"/>
          <w:b/>
          <w:sz w:val="24"/>
          <w:szCs w:val="24"/>
          <w:lang w:val="en-US"/>
        </w:rPr>
        <w:t>ADMINISTRATIVE</w:t>
      </w:r>
      <w:r w:rsidRPr="001B6C3B">
        <w:rPr>
          <w:rFonts w:ascii="Times New Roman" w:hAnsi="Times New Roman" w:cs="Times New Roman"/>
          <w:b/>
          <w:sz w:val="24"/>
          <w:szCs w:val="24"/>
        </w:rPr>
        <w:t xml:space="preserve"> </w:t>
      </w:r>
      <w:r>
        <w:rPr>
          <w:rFonts w:ascii="Times New Roman" w:hAnsi="Times New Roman" w:cs="Times New Roman"/>
          <w:b/>
          <w:sz w:val="24"/>
          <w:szCs w:val="24"/>
          <w:lang w:val="en-US"/>
        </w:rPr>
        <w:t>LEGAL</w:t>
      </w:r>
      <w:r w:rsidRPr="001B6C3B">
        <w:rPr>
          <w:rFonts w:ascii="Times New Roman" w:hAnsi="Times New Roman" w:cs="Times New Roman"/>
          <w:b/>
          <w:sz w:val="24"/>
          <w:szCs w:val="24"/>
        </w:rPr>
        <w:t xml:space="preserve"> </w:t>
      </w:r>
      <w:r>
        <w:rPr>
          <w:rFonts w:ascii="Times New Roman" w:hAnsi="Times New Roman" w:cs="Times New Roman"/>
          <w:b/>
          <w:sz w:val="24"/>
          <w:szCs w:val="24"/>
          <w:lang w:val="en-US"/>
        </w:rPr>
        <w:t>PROCEEDINGS</w:t>
      </w:r>
    </w:p>
    <w:p w14:paraId="15215924" w14:textId="77777777" w:rsidR="001B6C3B" w:rsidRDefault="001B6C3B" w:rsidP="001B6C3B">
      <w:pPr>
        <w:spacing w:after="0" w:line="240" w:lineRule="auto"/>
        <w:ind w:firstLine="709"/>
        <w:jc w:val="both"/>
        <w:rPr>
          <w:rFonts w:ascii="Times New Roman" w:hAnsi="Times New Roman" w:cs="Times New Roman"/>
          <w:b/>
          <w:sz w:val="24"/>
          <w:szCs w:val="24"/>
        </w:rPr>
      </w:pPr>
    </w:p>
    <w:p w14:paraId="3B6588FA"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i/>
          <w:sz w:val="24"/>
          <w:szCs w:val="24"/>
        </w:rPr>
        <w:t>Аннотация:</w:t>
      </w:r>
      <w:r>
        <w:rPr>
          <w:rFonts w:ascii="Times New Roman" w:hAnsi="Times New Roman" w:cs="Times New Roman"/>
          <w:sz w:val="24"/>
          <w:szCs w:val="24"/>
        </w:rPr>
        <w:t xml:space="preserve"> В статье рассмотрено действие  принципа диспозитивности в сочетании с активной ролью суда в рамках административного судопроизводства. Анализируется взаимовлияние двух принципов,  проанализированы особенности сочетания диспозитивности сторон и активности суда на современном этапе развития административного судопроизводства. </w:t>
      </w:r>
    </w:p>
    <w:p w14:paraId="4144C2ED"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i/>
          <w:sz w:val="24"/>
          <w:szCs w:val="24"/>
        </w:rPr>
        <w:t>Ключевые слова:</w:t>
      </w:r>
      <w:r>
        <w:rPr>
          <w:rFonts w:ascii="Times New Roman" w:hAnsi="Times New Roman" w:cs="Times New Roman"/>
          <w:sz w:val="24"/>
          <w:szCs w:val="24"/>
        </w:rPr>
        <w:t xml:space="preserve"> активность суда; принцип диспозитивности; административное судопроизводство; Кодекс административного судопроизводства Российской Федерации (КАС РФ); сочетание принципов.</w:t>
      </w:r>
    </w:p>
    <w:p w14:paraId="05F6CB5A" w14:textId="77777777" w:rsidR="001B6C3B" w:rsidRDefault="001B6C3B" w:rsidP="001B6C3B">
      <w:pPr>
        <w:spacing w:after="0" w:line="240" w:lineRule="auto"/>
        <w:ind w:firstLine="709"/>
        <w:jc w:val="both"/>
        <w:rPr>
          <w:rFonts w:ascii="Times New Roman" w:hAnsi="Times New Roman" w:cs="Times New Roman"/>
          <w:sz w:val="24"/>
          <w:szCs w:val="24"/>
          <w:lang w:val="en-US"/>
        </w:rPr>
      </w:pPr>
      <w:r>
        <w:rPr>
          <w:rFonts w:ascii="Times New Roman" w:hAnsi="Times New Roman" w:cs="Times New Roman"/>
          <w:i/>
          <w:sz w:val="24"/>
          <w:szCs w:val="24"/>
          <w:lang w:val="en-US"/>
        </w:rPr>
        <w:t>Аnnotation:</w:t>
      </w:r>
      <w:r>
        <w:rPr>
          <w:rFonts w:ascii="Times New Roman" w:hAnsi="Times New Roman" w:cs="Times New Roman"/>
          <w:sz w:val="24"/>
          <w:szCs w:val="24"/>
          <w:lang w:val="en-US"/>
        </w:rPr>
        <w:t xml:space="preserve"> The article considers the effect of the principle of dispositiveness in combination with the active role of the court in the framework of administrative proceedings. The mutual influence of the two principles is analyzed, the features of the combination of the disparity of the parties and the activity of the court at the present stage of the development of administrative proceedings are analyzed.</w:t>
      </w:r>
    </w:p>
    <w:p w14:paraId="67E3F995" w14:textId="77777777" w:rsidR="001B6C3B" w:rsidRDefault="001B6C3B" w:rsidP="001B6C3B">
      <w:pPr>
        <w:spacing w:after="0" w:line="240" w:lineRule="auto"/>
        <w:ind w:firstLine="709"/>
        <w:jc w:val="both"/>
        <w:rPr>
          <w:rFonts w:ascii="Times New Roman" w:hAnsi="Times New Roman" w:cs="Times New Roman"/>
          <w:sz w:val="24"/>
          <w:szCs w:val="24"/>
          <w:lang w:val="en-US"/>
        </w:rPr>
      </w:pPr>
      <w:r>
        <w:rPr>
          <w:rFonts w:ascii="Times New Roman" w:hAnsi="Times New Roman" w:cs="Times New Roman"/>
          <w:i/>
          <w:sz w:val="24"/>
          <w:szCs w:val="24"/>
          <w:lang w:val="en-US"/>
        </w:rPr>
        <w:t>Keywords:</w:t>
      </w:r>
      <w:r>
        <w:rPr>
          <w:rFonts w:ascii="Times New Roman" w:hAnsi="Times New Roman" w:cs="Times New Roman"/>
          <w:sz w:val="24"/>
          <w:szCs w:val="24"/>
          <w:lang w:val="en-US"/>
        </w:rPr>
        <w:t xml:space="preserve"> court activity; principle of disparity; administrative proceedings; Code of Administrative Procedure of the Russian Federation (CAS RF); combination of principles.</w:t>
      </w:r>
    </w:p>
    <w:p w14:paraId="2FEACAAE" w14:textId="77777777" w:rsidR="001B6C3B" w:rsidRDefault="001B6C3B" w:rsidP="001B6C3B">
      <w:pPr>
        <w:spacing w:after="0" w:line="240" w:lineRule="auto"/>
        <w:ind w:firstLine="709"/>
        <w:jc w:val="both"/>
        <w:rPr>
          <w:rFonts w:ascii="Times New Roman" w:hAnsi="Times New Roman" w:cs="Times New Roman"/>
          <w:sz w:val="24"/>
          <w:szCs w:val="24"/>
          <w:lang w:val="en-US"/>
        </w:rPr>
      </w:pPr>
    </w:p>
    <w:p w14:paraId="5D6E5139"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До принятия Кодекса административного судопроизводства (далее КАС РФ) «административное судопроизводство» не имело законодательного закрепления, что порождало множество дискуссий среди процессуалистов. Некоторая часть ученых говорили об административном судопроизводстве как о спорном гражданском производстве, или же, как об «административном правосудии» в рамках гражданского процесса</w:t>
      </w:r>
      <w:r>
        <w:rPr>
          <w:rStyle w:val="a7"/>
          <w:rFonts w:ascii="Times New Roman" w:hAnsi="Times New Roman" w:cs="Times New Roman"/>
          <w:sz w:val="24"/>
          <w:szCs w:val="24"/>
        </w:rPr>
        <w:footnoteReference w:id="1"/>
      </w:r>
      <w:r>
        <w:rPr>
          <w:rFonts w:ascii="Times New Roman" w:hAnsi="Times New Roman" w:cs="Times New Roman"/>
          <w:sz w:val="24"/>
          <w:szCs w:val="24"/>
        </w:rPr>
        <w:t xml:space="preserve">.  </w:t>
      </w:r>
    </w:p>
    <w:p w14:paraId="6C2ED3A4"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эпоху древнерусского государства инициативность истца являлась основой процесса. Позднее процесс стал приобретать следственный характер. В эпоху советского времени, </w:t>
      </w:r>
      <w:r>
        <w:rPr>
          <w:rFonts w:ascii="Times New Roman" w:hAnsi="Times New Roman" w:cs="Times New Roman"/>
          <w:sz w:val="24"/>
          <w:szCs w:val="24"/>
        </w:rPr>
        <w:lastRenderedPageBreak/>
        <w:t>полномочия и функции суда стали значительно шире. Суд приобрел активную позицию в процессе, а диспозитивные начала прослеживались не так явно</w:t>
      </w:r>
      <w:r>
        <w:rPr>
          <w:rStyle w:val="a7"/>
          <w:rFonts w:ascii="Times New Roman" w:hAnsi="Times New Roman" w:cs="Times New Roman"/>
          <w:sz w:val="24"/>
          <w:szCs w:val="24"/>
        </w:rPr>
        <w:footnoteReference w:id="2"/>
      </w:r>
      <w:r>
        <w:rPr>
          <w:rFonts w:ascii="Times New Roman" w:hAnsi="Times New Roman" w:cs="Times New Roman"/>
          <w:sz w:val="24"/>
          <w:szCs w:val="24"/>
        </w:rPr>
        <w:t>.</w:t>
      </w:r>
    </w:p>
    <w:p w14:paraId="5B7A35E9"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Многие авторы, аргументировано считают, что принцип диспозитивности в административном судопроизводстве так же важен, как и в гражданском судопроизводстве</w:t>
      </w:r>
      <w:r>
        <w:rPr>
          <w:rStyle w:val="a7"/>
          <w:rFonts w:ascii="Times New Roman" w:hAnsi="Times New Roman" w:cs="Times New Roman"/>
          <w:sz w:val="24"/>
          <w:szCs w:val="24"/>
        </w:rPr>
        <w:footnoteReference w:id="3"/>
      </w:r>
      <w:r>
        <w:rPr>
          <w:rFonts w:ascii="Times New Roman" w:hAnsi="Times New Roman" w:cs="Times New Roman"/>
          <w:sz w:val="24"/>
          <w:szCs w:val="24"/>
        </w:rPr>
        <w:t>.</w:t>
      </w:r>
    </w:p>
    <w:p w14:paraId="7A7304E2"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Определению понятия и сущности  диспозитивности, его содержанию посвящено значительное количество научных работ. Традиционно, содержание принципа диспозитивности определяется, как возможность участников гражданского процесса свободного распоряжаться своими материальными и процессуальными правами и защищаться в порядке, установленном законом. Часть процессуалистов под принципом диспозитивности понимают нормативно-руководящие положения гражданского и арбитражного судопроизводства, определяющие в качестве движущего начала процесса главным образом инициативу заинтересованных в исходе дела лиц.</w:t>
      </w:r>
    </w:p>
    <w:p w14:paraId="298F38C1"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Дискуссионным представлялся вопрос о круге субъектов, на которых распространяется диспозитивность. В научной литературе сложилось три основных подхода по данному вопросу. Согласно первому, к числу субъектов относятся только стороны. В соответствии со вторым подходом, к ним относятся суд, стороны, заявители и заинтересованные лица. Сторонники третьего подхода считают, что принцип распространяется на всех участников процесса. </w:t>
      </w:r>
    </w:p>
    <w:p w14:paraId="76811841"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По вопросу распространения действия принципа диспозитивности проблем не возникает только в отношении сторон. Заявителей в административном судопроизводстве нет среди лиц, участвующих в деле, поэтому и рассуждения о действии диспозитивности неактуальны.  Что касается заинтересованных лиц, то при сосуществующих в науке различных подходах к определению понятия «заинтересованные лица</w:t>
      </w:r>
      <w:r>
        <w:rPr>
          <w:rStyle w:val="a7"/>
          <w:rFonts w:ascii="Times New Roman" w:hAnsi="Times New Roman" w:cs="Times New Roman"/>
          <w:sz w:val="24"/>
          <w:szCs w:val="24"/>
        </w:rPr>
        <w:footnoteReference w:id="4"/>
      </w:r>
      <w:r>
        <w:rPr>
          <w:rFonts w:ascii="Times New Roman" w:hAnsi="Times New Roman" w:cs="Times New Roman"/>
          <w:sz w:val="24"/>
          <w:szCs w:val="24"/>
        </w:rPr>
        <w:t>», поскольку  ст.37  КАС  РФ закрепляет заинтересованных лиц как лиц, участвующих в деле, то, учитывая критерии отнесения тех или иных субъектов к лицам участвующим, а это, прежде всего, наличие юридической заинтересованности,  полагаем, что диспозитивные права у них есть в полном объёме. При этом, считаем, что одной из актуальных практических проблем в административном судопроизводстве по аналогии с гражданским судопроизводством,  представляется проблема правильного разрешения вопроса о составе лиц, участвующих в деле</w:t>
      </w:r>
      <w:r>
        <w:rPr>
          <w:rStyle w:val="a7"/>
          <w:rFonts w:ascii="Times New Roman" w:hAnsi="Times New Roman" w:cs="Times New Roman"/>
          <w:sz w:val="24"/>
          <w:szCs w:val="24"/>
        </w:rPr>
        <w:footnoteReference w:id="5"/>
      </w:r>
      <w:r>
        <w:rPr>
          <w:rFonts w:ascii="Times New Roman" w:hAnsi="Times New Roman" w:cs="Times New Roman"/>
          <w:sz w:val="24"/>
          <w:szCs w:val="24"/>
        </w:rPr>
        <w:t>, и законодательное закрепление  именно обязанности суда по разрешению вопроса о составе лиц, участвующих в деле. Обозначенная обязанность суда будет способствовать в целом вынесению законного и обоснованного решения, отражая в себе сочетание активной роли суда и диспозитивности.</w:t>
      </w:r>
    </w:p>
    <w:p w14:paraId="518C7524"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Исследуя вопросы  о субъектах административного процесса, на которых распространяется диспозитивность, на наш взгляд, следует в целом поддержать мнение тех авторов, которые полагают, что анализируемый принцип действует в отношении всех  участников процесса, поскольку  у каждого из них есть определённые права, которыми они могут воспользоваться либо не воспользоваться.  При этом полагаем актуальным исследование именно специфики действия диспозитивности в отношении различных субъектов процесса. </w:t>
      </w:r>
    </w:p>
    <w:p w14:paraId="1476C5EA"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административном судопроизводстве принцип диспозитивности имеет свои особенности, обусловленные активными полномочиями суда в ходе процесса и действиями участвующих в нем лиц по распоряжению материальными правами и процессуальными средствами их защиты.</w:t>
      </w:r>
    </w:p>
    <w:p w14:paraId="2B9361B3"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В административном судопроизводстве действие принципа диспозитивности приобретает неоднозначный характер в силу неординарности публично-правового спора, однако лишь в тех случаях, когда природой спорного публичного правоотношения не предполагается возможность свободного распоряжения субъективным материальным правом</w:t>
      </w:r>
      <w:r>
        <w:rPr>
          <w:rStyle w:val="a7"/>
          <w:rFonts w:ascii="Times New Roman" w:hAnsi="Times New Roman" w:cs="Times New Roman"/>
          <w:sz w:val="24"/>
          <w:szCs w:val="24"/>
        </w:rPr>
        <w:footnoteReference w:id="6"/>
      </w:r>
      <w:r>
        <w:rPr>
          <w:rFonts w:ascii="Times New Roman" w:hAnsi="Times New Roman" w:cs="Times New Roman"/>
          <w:sz w:val="24"/>
          <w:szCs w:val="24"/>
        </w:rPr>
        <w:t>.</w:t>
      </w:r>
    </w:p>
    <w:p w14:paraId="5017D2A3"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Диспозитивные начала правого регулирования гарантируют субъекту возможность по своему усмотрению распоряжаться закрепленными правами в определенной форме, не нарушая права и интересы других лиц.  КАС РФ  не содержит статьи, которая бы прямо закрепляла принцип диспозитивности как основополагающий. О действии диспозитивных начал в административном судопроизводстве свидетельствует содержание многих конкретных правовых норм. </w:t>
      </w:r>
    </w:p>
    <w:p w14:paraId="3CF8A369"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Исходя из того, что лица, заинтересованные в исходе дела, имеют возможность оказывать влияние на движение процесса путем свободного распоряжения предметом спора и осуществления предоставленных им законом процессуальных прав, направленных на возбуждение, развитие и окончание процесса рассмотрения и разрешения дела, можно предположить о наличии данного принципа в административном процессе.</w:t>
      </w:r>
    </w:p>
    <w:p w14:paraId="29A1D813"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Каждый спор по административным делам имеет публично-правовой характер, и, следовательно, возникает между неравными субъектами, по общему правилу, хотя бы один из которых наделен публичными полномочиями.</w:t>
      </w:r>
    </w:p>
    <w:p w14:paraId="40EB1E14"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отличие от ГПК РФ, КАС РФ закрепляет активную роль суда при одновременном  сосуществовании  с состязательностью  и равноправием сторон административно судопроизводства (ст. 6 КАС РФ). В силу этого, стоит разобраться, как реализуется названная активность суда, и есть ли специфика действия, обусловленная   сочетанием   обозначенных  принципов в рамках административного судопроизводства. </w:t>
      </w:r>
    </w:p>
    <w:p w14:paraId="16EDC28E"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Процессуальная активность суда в юридической науке неоднозначно определена. Некоторые авторы считают, что определить диспозитивность в полной мере возможно, рассмотрев вопрос о соотношении принципа с активностью суда, поскольку любое использование или распоряжение предоставленным правом в процессе рассмотрения и разрешения дела осуществляется под обязательным контролем суда.  </w:t>
      </w:r>
    </w:p>
    <w:p w14:paraId="3A4D7A88"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Ряд ученых, в свою очередь, определяют активные полномочия суда как исключение из принципа диспозитивности.  Так как наличие публично-правового интереса является условием реализации принципа, а не исключением из него. Данное мнение представляется нам спорным.</w:t>
      </w:r>
    </w:p>
    <w:p w14:paraId="49628F0B"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качестве примеров соотношения диспозитивности и активной роли суда можно привести следующие ситуации. Стороны реализуют принцип диспозитивности, определяя пределы обжалования решения суда. В гражданском судопроизводстве суд рассматривает дело в пределах доводов, изложенных в апелляционной жалобе. Лишь в интересах законности суд вправе проверить обжалуемое решение в полном объеме. В рамках рассмотрения административного дела суд не связан доводами и основаниями, которые излагаются стороной в апелляционной жалобе. Суд проверяет обоснованность и законность всего постановления, вне зависимости от того, в какой части обжалуется и по каким доводам.  </w:t>
      </w:r>
    </w:p>
    <w:p w14:paraId="65167874"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российском процессуальном законодательстве это не является чем-то «новым». Аналогичные правила производства в стадии пересмотра, устанавливались сначала в ГПК РСФСР, а потом и в ГПК 1964 года</w:t>
      </w:r>
      <w:r>
        <w:rPr>
          <w:rStyle w:val="a7"/>
          <w:rFonts w:ascii="Times New Roman" w:hAnsi="Times New Roman" w:cs="Times New Roman"/>
          <w:sz w:val="24"/>
          <w:szCs w:val="24"/>
        </w:rPr>
        <w:footnoteReference w:id="7"/>
      </w:r>
      <w:r>
        <w:rPr>
          <w:rFonts w:ascii="Times New Roman" w:hAnsi="Times New Roman" w:cs="Times New Roman"/>
          <w:sz w:val="24"/>
          <w:szCs w:val="24"/>
        </w:rPr>
        <w:t>.</w:t>
      </w:r>
    </w:p>
    <w:p w14:paraId="2A17E3B7"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На наш взгляд, активные полномочия суда в выходе за пределы обжалования не следует считать ограничением принципа диспозитивности. Суд, реализуя названное полномочие, «уравновешивает» положение неравнозначных субъектов административных правоотношений. </w:t>
      </w:r>
    </w:p>
    <w:p w14:paraId="7187BAB2"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 xml:space="preserve">Некоторые авторы небезосновательно отмечают, что положение стороны, по инициативе которой происходит обжалование, может значительно ухудшиться. Что часто и происходит на практике. Какого-либо правила о запрете ухудшения правового положения инициатора обжалования нет. </w:t>
      </w:r>
    </w:p>
    <w:p w14:paraId="7F1228FC"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Но все же, такая активность суда в сочетании с принципом диспозитивности, в целом направлена и обеспечивает защиту более «слабой» стороны в процессе в отношениях власти и подчинения.  А также реализует такую задачу процессуальной деятельности суда в административном судопроизводстве, как судебный контроль за деятельность властных органов.  </w:t>
      </w:r>
    </w:p>
    <w:p w14:paraId="76BB4228"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соответствии с КАС РФ суд вправе заменить ненадлежащего административного ответчика лишь с согласия административного истца. Но кодексом предусмотрена возможность привлечения второго административного ответчика. Указанное полномочие является ограничением принципа диспозитивности или его особенностью? На наш взгляд, суд тем самым помогает и себе, и стороне. В ситуациях, когда административными ответчиками выступают органы государственной власти и местного самоуправления, часто происходит реорганизация либо вообще ликвидация органов, у должностного лица (административный ответчик) могут истечь полномочия, либо полномочия переходят к другому должностному лицу или органу. В целях оказания содействия стороне, которая может не обладать актуальными знаниями при определении компетенции органов, суд вполне обосновано, привлекает надлежащего административного ответчика.  В целом это способствует и процессуальной экономии, поскольку в случаях несогласия административного истца на замену и рассмотрения дела  с участием ненадлежащего административного ответчика, в последующем административный истец вправе обратиться в суд к надлежащему ответчику  и, по сути,   дело могло бы  рассматриваться дважды. </w:t>
      </w:r>
    </w:p>
    <w:p w14:paraId="08E5E70E"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Стороны имеют возможность представлять любые доказательства, которые необходимы для удовлетворения их требований. Суд, в свою очередь, в целях правильного разрешения дела, может истребовать доказательства сам, без волеизъявления стороны. Некоторые авторы считают,  что активность суда при сборе доказательств ограничивает диспозитивные начала в процессе. Суд как орган правосудия призван обеспечивать в судебном разбирательстве соблюдение требований, необходимых для вынесения законного, обоснованного и справедливого решения по делу. Истребование судом по собственной инициативе доказательств можно рассматривать как процессуальную помощь «слабой» стороне в процессе. Ведь зачастую, граждане не имеют процессуальных возможностей и достаточного опыта для самостоятельной эффективной защиты своих прав в споре с государственными органами. </w:t>
      </w:r>
    </w:p>
    <w:p w14:paraId="76DDB490"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Анализируя правоприменительную практику, можно сделать вывод, что данное полномочие позволяет рассмотреть дело в полном объеме и сразу, в суде первой инстанции, вынести законное и обоснованное решение. </w:t>
      </w:r>
    </w:p>
    <w:p w14:paraId="3264E629"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Исходя из вышесказанного, можно сделать вывод, что процессуальным действиям лиц, участвующих в деле корреспондируют активные полномочия суда. Полагаем, что суд должен содействовать сторонам в процессе реализации их процессуальных прав и создавать необходимые условия для реализации основных задач административного судопроизводства. Активная роль суда в административном судопроизводстве не может рассматриваться как ограничение принципа диспозитивности, так как своими действиями суд лишь способствует правильному рассмотрению дел, оказывая по большей части содействие стороне, у которой нет опыта в споре с государственным органом. </w:t>
      </w:r>
    </w:p>
    <w:p w14:paraId="63DE7175" w14:textId="77777777" w:rsidR="001B6C3B" w:rsidRDefault="001B6C3B" w:rsidP="001B6C3B">
      <w:pPr>
        <w:spacing w:after="0" w:line="240" w:lineRule="auto"/>
        <w:ind w:firstLine="709"/>
        <w:jc w:val="both"/>
        <w:rPr>
          <w:rFonts w:ascii="Times New Roman" w:hAnsi="Times New Roman" w:cs="Times New Roman"/>
          <w:sz w:val="24"/>
          <w:szCs w:val="24"/>
        </w:rPr>
      </w:pPr>
    </w:p>
    <w:p w14:paraId="67B3890B" w14:textId="77777777" w:rsidR="001B6C3B" w:rsidRDefault="001B6C3B" w:rsidP="001B6C3B">
      <w:pPr>
        <w:spacing w:after="0" w:line="240" w:lineRule="auto"/>
        <w:ind w:firstLine="709"/>
        <w:jc w:val="both"/>
        <w:rPr>
          <w:rFonts w:ascii="Times New Roman" w:hAnsi="Times New Roman" w:cs="Times New Roman"/>
          <w:b/>
          <w:sz w:val="24"/>
          <w:szCs w:val="24"/>
        </w:rPr>
      </w:pPr>
      <w:r>
        <w:rPr>
          <w:rFonts w:ascii="Times New Roman" w:hAnsi="Times New Roman" w:cs="Times New Roman"/>
          <w:b/>
          <w:sz w:val="24"/>
          <w:szCs w:val="24"/>
        </w:rPr>
        <w:t>Библиографический список</w:t>
      </w:r>
    </w:p>
    <w:p w14:paraId="6D9D4848" w14:textId="77777777" w:rsidR="001B6C3B" w:rsidRDefault="001B6C3B" w:rsidP="001B6C3B">
      <w:pPr>
        <w:spacing w:after="0" w:line="240" w:lineRule="auto"/>
        <w:ind w:firstLine="709"/>
        <w:jc w:val="both"/>
        <w:rPr>
          <w:rFonts w:ascii="Times New Roman" w:hAnsi="Times New Roman" w:cs="Times New Roman"/>
          <w:b/>
          <w:sz w:val="24"/>
          <w:szCs w:val="24"/>
        </w:rPr>
      </w:pPr>
    </w:p>
    <w:p w14:paraId="45EAD177" w14:textId="77777777" w:rsidR="001B6C3B" w:rsidRDefault="001B6C3B" w:rsidP="001B6C3B">
      <w:pPr>
        <w:pStyle w:val="a4"/>
        <w:numPr>
          <w:ilvl w:val="0"/>
          <w:numId w:val="1"/>
        </w:numPr>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Глодина А.В. О понимании административного судопроизводства // Вестник ВГУ: Право. - 2016. - №2. - С.137-144.</w:t>
      </w:r>
    </w:p>
    <w:p w14:paraId="5C729DDE" w14:textId="77777777" w:rsidR="001B6C3B" w:rsidRDefault="001B6C3B" w:rsidP="001B6C3B">
      <w:pPr>
        <w:pStyle w:val="a4"/>
        <w:numPr>
          <w:ilvl w:val="0"/>
          <w:numId w:val="1"/>
        </w:numPr>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lastRenderedPageBreak/>
        <w:t>Зеленская Л.А. К вопросу о понятии «заинтересованные лица» в гражданском и административном судопроизводстве // Право и практика. 2019. №4. С.219-224.</w:t>
      </w:r>
    </w:p>
    <w:p w14:paraId="341F2D1C" w14:textId="77777777" w:rsidR="001B6C3B" w:rsidRDefault="001B6C3B" w:rsidP="001B6C3B">
      <w:pPr>
        <w:pStyle w:val="a4"/>
        <w:numPr>
          <w:ilvl w:val="0"/>
          <w:numId w:val="1"/>
        </w:numPr>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Зеленская Л.А. Разрешение вопроса о составе лиц, участвующих в деле в гражданском судопроизводстве // Политематический сетевой электронный научный журнал Кубанского государственного аграрного университета. 2016. №120. С.857-869.</w:t>
      </w:r>
    </w:p>
    <w:p w14:paraId="2B124E62" w14:textId="77777777" w:rsidR="001B6C3B" w:rsidRDefault="001B6C3B" w:rsidP="001B6C3B">
      <w:pPr>
        <w:pStyle w:val="a4"/>
        <w:numPr>
          <w:ilvl w:val="0"/>
          <w:numId w:val="1"/>
        </w:numPr>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 xml:space="preserve">Немцева В.Б. Некоторые проблемы соотношения гражданского и административного судопроизводства в судах общей юрисдикции // Вестник гражданского процесса. - 2016. - №1. - С.193-211. </w:t>
      </w:r>
    </w:p>
    <w:p w14:paraId="7855DCD1" w14:textId="77777777" w:rsidR="001B6C3B" w:rsidRDefault="001B6C3B" w:rsidP="001B6C3B">
      <w:pPr>
        <w:pStyle w:val="a4"/>
        <w:numPr>
          <w:ilvl w:val="0"/>
          <w:numId w:val="1"/>
        </w:numPr>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Пешкова Т.В. Административное судопроизводство в судах общей юрисдикции в Российской Федерации: диссертация.  – Воронеж: - ВГУ. - 2014. - 249 с.</w:t>
      </w:r>
    </w:p>
    <w:p w14:paraId="11052841" w14:textId="77777777" w:rsidR="001B6C3B" w:rsidRDefault="001B6C3B" w:rsidP="001B6C3B">
      <w:pPr>
        <w:pStyle w:val="a4"/>
        <w:numPr>
          <w:ilvl w:val="0"/>
          <w:numId w:val="1"/>
        </w:numPr>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Степанян Ш.У. Особенности административного судопроизводства как самостоятельной формы осуществления судебной власти // Российский судья. - 2015. - № 11.  - С.44-47.</w:t>
      </w:r>
    </w:p>
    <w:p w14:paraId="0DE5EF80" w14:textId="77777777" w:rsidR="001B6C3B" w:rsidRDefault="001B6C3B" w:rsidP="001B6C3B">
      <w:pPr>
        <w:pStyle w:val="a4"/>
        <w:numPr>
          <w:ilvl w:val="0"/>
          <w:numId w:val="1"/>
        </w:numPr>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Федина А.С. Принципы административного судопроизводства // Вестник ТвГУ. - 2015. - №3. - С.131-1</w:t>
      </w:r>
    </w:p>
    <w:p w14:paraId="4921C995" w14:textId="77777777" w:rsidR="001B6C3B" w:rsidRDefault="001B6C3B" w:rsidP="001B6C3B">
      <w:pPr>
        <w:spacing w:after="0" w:line="240" w:lineRule="auto"/>
        <w:rPr>
          <w:rFonts w:ascii="Times New Roman" w:hAnsi="Times New Roman" w:cs="Times New Roman"/>
          <w:sz w:val="24"/>
          <w:szCs w:val="24"/>
        </w:rPr>
        <w:sectPr w:rsidR="001B6C3B">
          <w:footerReference w:type="default" r:id="rId11"/>
          <w:footnotePr>
            <w:numRestart w:val="eachPage"/>
          </w:footnotePr>
          <w:pgSz w:w="11906" w:h="16838"/>
          <w:pgMar w:top="1134" w:right="1134" w:bottom="1134" w:left="1134" w:header="709" w:footer="709" w:gutter="0"/>
          <w:cols w:space="720"/>
        </w:sectPr>
      </w:pPr>
    </w:p>
    <w:p w14:paraId="303F28EE" w14:textId="77777777" w:rsidR="001B6C3B" w:rsidRDefault="001B6C3B" w:rsidP="001B6C3B">
      <w:pPr>
        <w:spacing w:after="0" w:line="240" w:lineRule="auto"/>
        <w:jc w:val="both"/>
        <w:rPr>
          <w:rFonts w:ascii="Times New Roman" w:hAnsi="Times New Roman" w:cs="Times New Roman"/>
          <w:sz w:val="24"/>
          <w:szCs w:val="24"/>
        </w:rPr>
      </w:pPr>
    </w:p>
    <w:p w14:paraId="0211F719" w14:textId="77777777" w:rsidR="001B6C3B" w:rsidRDefault="001B6C3B" w:rsidP="001B6C3B">
      <w:pPr>
        <w:widowControl w:val="0"/>
        <w:autoSpaceDE w:val="0"/>
        <w:autoSpaceDN w:val="0"/>
        <w:adjustRightInd w:val="0"/>
        <w:spacing w:after="0" w:line="240" w:lineRule="auto"/>
        <w:ind w:left="4962"/>
        <w:jc w:val="both"/>
        <w:rPr>
          <w:rFonts w:ascii="Times New Roman" w:hAnsi="Times New Roman" w:cs="Times New Roman"/>
          <w:b/>
          <w:sz w:val="24"/>
          <w:szCs w:val="24"/>
        </w:rPr>
      </w:pPr>
      <w:r>
        <w:rPr>
          <w:rFonts w:ascii="Times New Roman" w:hAnsi="Times New Roman" w:cs="Times New Roman"/>
          <w:sz w:val="24"/>
          <w:szCs w:val="24"/>
        </w:rPr>
        <w:t>УДК 347.121.1</w:t>
      </w:r>
    </w:p>
    <w:p w14:paraId="06413C3F" w14:textId="77777777" w:rsidR="001B6C3B" w:rsidRDefault="001B6C3B" w:rsidP="001B6C3B">
      <w:pPr>
        <w:widowControl w:val="0"/>
        <w:autoSpaceDE w:val="0"/>
        <w:autoSpaceDN w:val="0"/>
        <w:adjustRightInd w:val="0"/>
        <w:spacing w:after="0" w:line="240" w:lineRule="auto"/>
        <w:ind w:firstLine="709"/>
        <w:jc w:val="both"/>
        <w:rPr>
          <w:rFonts w:ascii="Times New Roman" w:hAnsi="Times New Roman" w:cs="Times New Roman"/>
          <w:b/>
          <w:sz w:val="24"/>
          <w:szCs w:val="24"/>
        </w:rPr>
      </w:pPr>
    </w:p>
    <w:p w14:paraId="0FB0FF47" w14:textId="77777777" w:rsidR="001B6C3B" w:rsidRDefault="001B6C3B" w:rsidP="001B6C3B">
      <w:pPr>
        <w:widowControl w:val="0"/>
        <w:autoSpaceDE w:val="0"/>
        <w:autoSpaceDN w:val="0"/>
        <w:adjustRightInd w:val="0"/>
        <w:spacing w:after="0" w:line="240" w:lineRule="auto"/>
        <w:ind w:firstLine="709"/>
        <w:jc w:val="both"/>
        <w:rPr>
          <w:rFonts w:ascii="Times New Roman" w:hAnsi="Times New Roman" w:cs="Times New Roman"/>
          <w:b/>
          <w:sz w:val="24"/>
          <w:szCs w:val="24"/>
        </w:rPr>
      </w:pPr>
    </w:p>
    <w:p w14:paraId="143E0EB8" w14:textId="77777777" w:rsidR="001B6C3B" w:rsidRDefault="001B6C3B" w:rsidP="001B6C3B">
      <w:pPr>
        <w:widowControl w:val="0"/>
        <w:autoSpaceDE w:val="0"/>
        <w:autoSpaceDN w:val="0"/>
        <w:adjustRightInd w:val="0"/>
        <w:spacing w:after="0" w:line="240" w:lineRule="auto"/>
        <w:ind w:left="4962"/>
        <w:jc w:val="both"/>
        <w:rPr>
          <w:rFonts w:ascii="Times New Roman" w:hAnsi="Times New Roman" w:cs="Times New Roman"/>
          <w:sz w:val="24"/>
          <w:szCs w:val="24"/>
        </w:rPr>
      </w:pPr>
      <w:r>
        <w:rPr>
          <w:rFonts w:ascii="Times New Roman" w:hAnsi="Times New Roman" w:cs="Times New Roman"/>
          <w:sz w:val="24"/>
          <w:szCs w:val="24"/>
        </w:rPr>
        <w:t>Аксенова Диана Сергеевна</w:t>
      </w:r>
    </w:p>
    <w:p w14:paraId="2BC75B76" w14:textId="77777777" w:rsidR="001B6C3B" w:rsidRDefault="001B6C3B" w:rsidP="001B6C3B">
      <w:pPr>
        <w:widowControl w:val="0"/>
        <w:autoSpaceDE w:val="0"/>
        <w:autoSpaceDN w:val="0"/>
        <w:adjustRightInd w:val="0"/>
        <w:spacing w:after="0" w:line="240" w:lineRule="auto"/>
        <w:ind w:left="4962"/>
        <w:jc w:val="both"/>
        <w:rPr>
          <w:rFonts w:ascii="Times New Roman" w:hAnsi="Times New Roman" w:cs="Times New Roman"/>
          <w:sz w:val="24"/>
          <w:szCs w:val="24"/>
        </w:rPr>
      </w:pPr>
      <w:r>
        <w:rPr>
          <w:rFonts w:ascii="Times New Roman" w:hAnsi="Times New Roman" w:cs="Times New Roman"/>
          <w:sz w:val="24"/>
          <w:szCs w:val="24"/>
          <w:lang w:val="en-US"/>
        </w:rPr>
        <w:t>Aksenova</w:t>
      </w:r>
      <w:r w:rsidRPr="001B6C3B">
        <w:rPr>
          <w:rFonts w:ascii="Times New Roman" w:hAnsi="Times New Roman" w:cs="Times New Roman"/>
          <w:sz w:val="24"/>
          <w:szCs w:val="24"/>
        </w:rPr>
        <w:t xml:space="preserve"> </w:t>
      </w:r>
      <w:r>
        <w:rPr>
          <w:rFonts w:ascii="Times New Roman" w:hAnsi="Times New Roman" w:cs="Times New Roman"/>
          <w:sz w:val="24"/>
          <w:szCs w:val="24"/>
          <w:lang w:val="en-US"/>
        </w:rPr>
        <w:t>Diana</w:t>
      </w:r>
      <w:r w:rsidRPr="001B6C3B">
        <w:rPr>
          <w:rFonts w:ascii="Times New Roman" w:hAnsi="Times New Roman" w:cs="Times New Roman"/>
          <w:sz w:val="24"/>
          <w:szCs w:val="24"/>
        </w:rPr>
        <w:t xml:space="preserve"> </w:t>
      </w:r>
      <w:r>
        <w:rPr>
          <w:rFonts w:ascii="Times New Roman" w:hAnsi="Times New Roman" w:cs="Times New Roman"/>
          <w:sz w:val="24"/>
          <w:szCs w:val="24"/>
          <w:lang w:val="en-US"/>
        </w:rPr>
        <w:t>Sergeevna</w:t>
      </w:r>
      <w:r w:rsidRPr="001B6C3B">
        <w:rPr>
          <w:rFonts w:ascii="Times New Roman" w:hAnsi="Times New Roman" w:cs="Times New Roman"/>
          <w:sz w:val="24"/>
          <w:szCs w:val="24"/>
        </w:rPr>
        <w:t xml:space="preserve"> </w:t>
      </w:r>
    </w:p>
    <w:p w14:paraId="1A0C78F3" w14:textId="77777777" w:rsidR="001B6C3B" w:rsidRDefault="001B6C3B" w:rsidP="001B6C3B">
      <w:pPr>
        <w:spacing w:after="0" w:line="240" w:lineRule="auto"/>
        <w:ind w:left="4962"/>
        <w:jc w:val="both"/>
        <w:rPr>
          <w:rFonts w:ascii="Times New Roman" w:hAnsi="Times New Roman" w:cs="Times New Roman"/>
          <w:sz w:val="24"/>
          <w:szCs w:val="24"/>
        </w:rPr>
      </w:pPr>
      <w:r>
        <w:rPr>
          <w:rFonts w:ascii="Times New Roman" w:hAnsi="Times New Roman" w:cs="Times New Roman"/>
          <w:sz w:val="24"/>
          <w:szCs w:val="24"/>
        </w:rPr>
        <w:t>Бакалавр Федеральное государственное бюджетное образовательное учреждение высшего образования</w:t>
      </w:r>
    </w:p>
    <w:p w14:paraId="6B88D183" w14:textId="77777777" w:rsidR="001B6C3B" w:rsidRDefault="001B6C3B" w:rsidP="001B6C3B">
      <w:pPr>
        <w:spacing w:after="0" w:line="240" w:lineRule="auto"/>
        <w:ind w:left="4962"/>
        <w:jc w:val="both"/>
        <w:rPr>
          <w:rFonts w:ascii="Times New Roman" w:hAnsi="Times New Roman" w:cs="Times New Roman"/>
          <w:sz w:val="24"/>
          <w:szCs w:val="24"/>
        </w:rPr>
      </w:pPr>
      <w:r>
        <w:rPr>
          <w:rFonts w:ascii="Times New Roman" w:hAnsi="Times New Roman" w:cs="Times New Roman"/>
          <w:sz w:val="24"/>
          <w:szCs w:val="24"/>
        </w:rPr>
        <w:t xml:space="preserve"> «Кубанский государственный аграрный университет имени И.Т. Трубилина»</w:t>
      </w:r>
    </w:p>
    <w:p w14:paraId="7ADA7EDE" w14:textId="77777777" w:rsidR="001B6C3B" w:rsidRDefault="001B6C3B" w:rsidP="001B6C3B">
      <w:pPr>
        <w:pStyle w:val="ConsPlusNormal"/>
        <w:ind w:left="4962"/>
        <w:jc w:val="both"/>
        <w:rPr>
          <w:lang w:eastAsia="en-US"/>
        </w:rPr>
      </w:pPr>
      <w:r>
        <w:rPr>
          <w:lang w:eastAsia="en-US"/>
        </w:rPr>
        <w:t xml:space="preserve">Federal State Budgetary Educational Institution of Higher Education </w:t>
      </w:r>
    </w:p>
    <w:p w14:paraId="2B41FF03" w14:textId="77777777" w:rsidR="001B6C3B" w:rsidRDefault="001B6C3B" w:rsidP="001B6C3B">
      <w:pPr>
        <w:pStyle w:val="ConsPlusNormal"/>
        <w:ind w:left="4962"/>
        <w:jc w:val="both"/>
        <w:rPr>
          <w:lang w:eastAsia="en-US"/>
        </w:rPr>
      </w:pPr>
      <w:r>
        <w:rPr>
          <w:lang w:eastAsia="en-US"/>
        </w:rPr>
        <w:t>“Kuban State Agrarian University named after I.T. Trubilin”</w:t>
      </w:r>
    </w:p>
    <w:p w14:paraId="1DE0F361" w14:textId="77777777" w:rsidR="001B6C3B" w:rsidRDefault="001B6C3B" w:rsidP="001B6C3B">
      <w:pPr>
        <w:pStyle w:val="ConsPlusNormal"/>
        <w:ind w:left="4962"/>
        <w:jc w:val="both"/>
        <w:rPr>
          <w:lang w:val="ru-RU" w:eastAsia="en-US"/>
        </w:rPr>
      </w:pPr>
      <w:r>
        <w:rPr>
          <w:lang w:val="ru-RU" w:eastAsia="en-US"/>
        </w:rPr>
        <w:t>Российская Федерация, Краснодар</w:t>
      </w:r>
    </w:p>
    <w:p w14:paraId="59E5892F" w14:textId="77777777" w:rsidR="001B6C3B" w:rsidRDefault="001B6C3B" w:rsidP="001B6C3B">
      <w:pPr>
        <w:pStyle w:val="ConsPlusNormal"/>
        <w:ind w:left="4962"/>
        <w:jc w:val="both"/>
        <w:rPr>
          <w:lang w:val="ru-RU" w:eastAsia="en-US"/>
        </w:rPr>
      </w:pPr>
      <w:r>
        <w:rPr>
          <w:lang w:eastAsia="en-US"/>
        </w:rPr>
        <w:t>Russian</w:t>
      </w:r>
      <w:r>
        <w:rPr>
          <w:lang w:val="ru-RU" w:eastAsia="en-US"/>
        </w:rPr>
        <w:t xml:space="preserve"> </w:t>
      </w:r>
      <w:r>
        <w:rPr>
          <w:lang w:eastAsia="en-US"/>
        </w:rPr>
        <w:t>Federation</w:t>
      </w:r>
      <w:r>
        <w:rPr>
          <w:lang w:val="ru-RU" w:eastAsia="en-US"/>
        </w:rPr>
        <w:t xml:space="preserve">, </w:t>
      </w:r>
      <w:r>
        <w:rPr>
          <w:lang w:eastAsia="en-US"/>
        </w:rPr>
        <w:t>Krasnodar</w:t>
      </w:r>
    </w:p>
    <w:p w14:paraId="55CCABB6" w14:textId="77777777" w:rsidR="001B6C3B" w:rsidRDefault="001B6C3B" w:rsidP="001B6C3B">
      <w:pPr>
        <w:pStyle w:val="a8"/>
        <w:ind w:left="4962"/>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lang w:val="en-US"/>
        </w:rPr>
        <w:t>diankaaksenova</w:t>
      </w:r>
      <w:r>
        <w:rPr>
          <w:rFonts w:ascii="Times New Roman" w:hAnsi="Times New Roman" w:cs="Times New Roman"/>
          <w:sz w:val="24"/>
          <w:szCs w:val="24"/>
          <w:shd w:val="clear" w:color="auto" w:fill="FFFFFF"/>
        </w:rPr>
        <w:t>49@</w:t>
      </w:r>
      <w:r>
        <w:rPr>
          <w:rFonts w:ascii="Times New Roman" w:hAnsi="Times New Roman" w:cs="Times New Roman"/>
          <w:sz w:val="24"/>
          <w:szCs w:val="24"/>
          <w:shd w:val="clear" w:color="auto" w:fill="FFFFFF"/>
          <w:lang w:val="en-US"/>
        </w:rPr>
        <w:t>gmail</w:t>
      </w:r>
      <w:r>
        <w:rPr>
          <w:rFonts w:ascii="Times New Roman" w:hAnsi="Times New Roman" w:cs="Times New Roman"/>
          <w:sz w:val="24"/>
          <w:szCs w:val="24"/>
          <w:shd w:val="clear" w:color="auto" w:fill="FFFFFF"/>
        </w:rPr>
        <w:t>.</w:t>
      </w:r>
      <w:r>
        <w:rPr>
          <w:rFonts w:ascii="Times New Roman" w:hAnsi="Times New Roman" w:cs="Times New Roman"/>
          <w:sz w:val="24"/>
          <w:szCs w:val="24"/>
          <w:shd w:val="clear" w:color="auto" w:fill="FFFFFF"/>
          <w:lang w:val="en-US"/>
        </w:rPr>
        <w:t>com</w:t>
      </w:r>
      <w:r w:rsidRPr="001B6C3B">
        <w:rPr>
          <w:rFonts w:ascii="Times New Roman" w:hAnsi="Times New Roman" w:cs="Times New Roman"/>
          <w:sz w:val="24"/>
          <w:szCs w:val="24"/>
          <w:shd w:val="clear" w:color="auto" w:fill="FFFFFF"/>
        </w:rPr>
        <w:t xml:space="preserve"> </w:t>
      </w:r>
    </w:p>
    <w:p w14:paraId="27E44494" w14:textId="77777777" w:rsidR="001B6C3B" w:rsidRDefault="001B6C3B" w:rsidP="001B6C3B">
      <w:pPr>
        <w:pStyle w:val="a8"/>
        <w:ind w:left="4962"/>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Научный руководитель: Кончаков АБ.,</w:t>
      </w:r>
    </w:p>
    <w:p w14:paraId="7B27A4F9" w14:textId="77777777" w:rsidR="001B6C3B" w:rsidRDefault="001B6C3B" w:rsidP="001B6C3B">
      <w:pPr>
        <w:pStyle w:val="a8"/>
        <w:ind w:left="4962"/>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преподаватель кафедры гражданского права</w:t>
      </w:r>
    </w:p>
    <w:p w14:paraId="3AF0E20A" w14:textId="77777777" w:rsidR="001B6C3B" w:rsidRDefault="001B6C3B" w:rsidP="001B6C3B">
      <w:pPr>
        <w:spacing w:after="0" w:line="240" w:lineRule="auto"/>
        <w:ind w:firstLine="709"/>
        <w:jc w:val="both"/>
        <w:rPr>
          <w:rFonts w:ascii="Times New Roman" w:hAnsi="Times New Roman" w:cs="Times New Roman"/>
          <w:sz w:val="24"/>
          <w:szCs w:val="24"/>
        </w:rPr>
      </w:pPr>
    </w:p>
    <w:p w14:paraId="461C5D98" w14:textId="77777777" w:rsidR="001B6C3B" w:rsidRDefault="001B6C3B" w:rsidP="001B6C3B">
      <w:pPr>
        <w:pStyle w:val="a8"/>
        <w:ind w:firstLine="709"/>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ПОНЯТИЕ НЕМАТЕРИАЛЬНЫХ БЛАГ И ИХ ОСОБЕННОСТИ.</w:t>
      </w:r>
    </w:p>
    <w:p w14:paraId="493F6064" w14:textId="77777777" w:rsidR="001B6C3B" w:rsidRDefault="001B6C3B" w:rsidP="001B6C3B">
      <w:pPr>
        <w:spacing w:after="0" w:line="240" w:lineRule="auto"/>
        <w:ind w:firstLine="709"/>
        <w:jc w:val="center"/>
        <w:rPr>
          <w:rFonts w:ascii="Times New Roman" w:hAnsi="Times New Roman" w:cs="Times New Roman"/>
          <w:b/>
          <w:sz w:val="24"/>
          <w:szCs w:val="24"/>
          <w:lang w:val="en-US"/>
        </w:rPr>
      </w:pPr>
      <w:r>
        <w:rPr>
          <w:rFonts w:ascii="Times New Roman" w:hAnsi="Times New Roman" w:cs="Times New Roman"/>
          <w:b/>
          <w:sz w:val="24"/>
          <w:szCs w:val="24"/>
          <w:lang w:val="en-US"/>
        </w:rPr>
        <w:t>THE CONCEPT OF INTANGIBLE GOODS AND THEIR FEATURES.</w:t>
      </w:r>
      <w:r>
        <w:rPr>
          <w:rFonts w:ascii="Times New Roman" w:hAnsi="Times New Roman" w:cs="Times New Roman"/>
          <w:b/>
          <w:sz w:val="24"/>
          <w:szCs w:val="24"/>
          <w:lang w:val="en-US"/>
        </w:rPr>
        <w:br/>
      </w:r>
    </w:p>
    <w:p w14:paraId="1F61C3CE"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b/>
          <w:sz w:val="24"/>
          <w:szCs w:val="24"/>
        </w:rPr>
        <w:t xml:space="preserve">Аннотация: </w:t>
      </w:r>
      <w:r>
        <w:rPr>
          <w:rFonts w:ascii="Times New Roman" w:hAnsi="Times New Roman" w:cs="Times New Roman"/>
          <w:sz w:val="24"/>
          <w:szCs w:val="24"/>
        </w:rPr>
        <w:t>тема «нематериальные блага» в цивилистической литературе и является достаточно популярной, тем не менее существует ряд дискуссионных вопросов, которые требуют более подробного исследования. Так, например, в юридической литературе не сложилось единства мнений относительно определения понятия «нематериальные блага», их классификации, а также остается открытым вопрос о разграничении понятий «нематериальные блага» и личные «неимущественные права». Также, актуальность данной темы обусловлена и тем, что гражданско – правовая защита нематериальных благ имеет важное значение, так же стоит обратить внимание на вопрос касающийся присуждения юридическим лицам компенсации .</w:t>
      </w:r>
    </w:p>
    <w:p w14:paraId="04A189C2" w14:textId="77777777" w:rsidR="001B6C3B" w:rsidRDefault="001B6C3B" w:rsidP="001B6C3B">
      <w:pPr>
        <w:spacing w:after="0" w:line="240" w:lineRule="auto"/>
        <w:ind w:firstLine="709"/>
        <w:jc w:val="both"/>
        <w:rPr>
          <w:rFonts w:ascii="Times New Roman" w:hAnsi="Times New Roman" w:cs="Times New Roman"/>
          <w:bCs/>
          <w:sz w:val="24"/>
          <w:szCs w:val="24"/>
        </w:rPr>
      </w:pPr>
      <w:r>
        <w:rPr>
          <w:rFonts w:ascii="Times New Roman" w:hAnsi="Times New Roman" w:cs="Times New Roman"/>
          <w:b/>
          <w:bCs/>
          <w:sz w:val="24"/>
          <w:szCs w:val="24"/>
        </w:rPr>
        <w:t xml:space="preserve">Ключевые слова: </w:t>
      </w:r>
      <w:r>
        <w:rPr>
          <w:rFonts w:ascii="Times New Roman" w:hAnsi="Times New Roman" w:cs="Times New Roman"/>
          <w:bCs/>
          <w:sz w:val="24"/>
          <w:szCs w:val="24"/>
        </w:rPr>
        <w:t>нематериальные блага; личные неимущественные права; гражданско – правовая защита; общие и специальные способы защиты нематериальных благ; граждане; юридические лица, честь; достоинство; деловая репутация.</w:t>
      </w:r>
    </w:p>
    <w:p w14:paraId="442E9BBC" w14:textId="77777777" w:rsidR="001B6C3B" w:rsidRDefault="001B6C3B" w:rsidP="001B6C3B">
      <w:pPr>
        <w:spacing w:after="0" w:line="240" w:lineRule="auto"/>
        <w:ind w:firstLine="709"/>
        <w:jc w:val="both"/>
        <w:rPr>
          <w:rFonts w:ascii="Times New Roman" w:hAnsi="Times New Roman" w:cs="Times New Roman"/>
          <w:bCs/>
          <w:sz w:val="24"/>
          <w:szCs w:val="24"/>
          <w:lang w:val="en-US"/>
        </w:rPr>
      </w:pPr>
      <w:r>
        <w:rPr>
          <w:rFonts w:ascii="Times New Roman" w:hAnsi="Times New Roman" w:cs="Times New Roman"/>
          <w:b/>
          <w:bCs/>
          <w:sz w:val="24"/>
          <w:szCs w:val="24"/>
          <w:lang w:val="en-US"/>
        </w:rPr>
        <w:t>Annotation:</w:t>
      </w:r>
      <w:r>
        <w:rPr>
          <w:rFonts w:ascii="Times New Roman" w:hAnsi="Times New Roman" w:cs="Times New Roman"/>
          <w:sz w:val="24"/>
          <w:szCs w:val="24"/>
          <w:lang w:val="en-US"/>
        </w:rPr>
        <w:t xml:space="preserve"> the topic of “intangible goods” in civilian literature is quite popular, however, there are a number of debatable issues that require more detailed research. So, for example, in the legal literature there was no consensus on the definition of the concept of “intangible goods”, their classification, and the question of the distinction between the concepts of “intangible goods” and personal “non-property rights” remains open. Also, the relevance of this topic is also due to the fact that civil - legal protection of intangible goods is important, it is also worth paying attention to the issue regarding the award of compensation to legal entities.</w:t>
      </w:r>
    </w:p>
    <w:p w14:paraId="4B196758" w14:textId="77777777" w:rsidR="001B6C3B" w:rsidRDefault="001B6C3B" w:rsidP="001B6C3B">
      <w:pPr>
        <w:pStyle w:val="a8"/>
        <w:ind w:firstLine="709"/>
        <w:jc w:val="both"/>
        <w:rPr>
          <w:rFonts w:ascii="Times New Roman" w:hAnsi="Times New Roman" w:cs="Times New Roman"/>
          <w:sz w:val="24"/>
          <w:szCs w:val="24"/>
          <w:lang w:val="en-US"/>
        </w:rPr>
      </w:pPr>
      <w:r>
        <w:rPr>
          <w:rFonts w:ascii="Times New Roman" w:hAnsi="Times New Roman" w:cs="Times New Roman"/>
          <w:b/>
          <w:bCs/>
          <w:sz w:val="24"/>
          <w:szCs w:val="24"/>
          <w:lang w:val="en-US"/>
        </w:rPr>
        <w:t>Keywords:</w:t>
      </w:r>
      <w:r>
        <w:rPr>
          <w:rFonts w:ascii="Times New Roman" w:hAnsi="Times New Roman" w:cs="Times New Roman"/>
          <w:sz w:val="24"/>
          <w:szCs w:val="24"/>
          <w:lang w:val="en-US"/>
        </w:rPr>
        <w:t xml:space="preserve"> intangible goods; personal non-property rights; civil law protection; general and special ways of protecting intangible goods; citizens legal entities, honor; dignity; business reputation.</w:t>
      </w:r>
    </w:p>
    <w:p w14:paraId="289E71F6" w14:textId="77777777" w:rsidR="001B6C3B" w:rsidRDefault="001B6C3B" w:rsidP="001B6C3B">
      <w:pPr>
        <w:pStyle w:val="a8"/>
        <w:ind w:firstLine="709"/>
        <w:jc w:val="both"/>
        <w:rPr>
          <w:rFonts w:ascii="Times New Roman" w:hAnsi="Times New Roman" w:cs="Times New Roman"/>
          <w:sz w:val="24"/>
          <w:szCs w:val="24"/>
          <w:shd w:val="clear" w:color="auto" w:fill="FFFFFF"/>
        </w:rPr>
      </w:pPr>
      <w:r>
        <w:rPr>
          <w:rFonts w:ascii="Times New Roman" w:eastAsia="Times New Roman" w:hAnsi="Times New Roman" w:cs="Times New Roman"/>
          <w:sz w:val="24"/>
          <w:szCs w:val="24"/>
        </w:rPr>
        <w:t xml:space="preserve">Нематериальные блага, т.е жизнь, здоровье, личная неприкосновенность, доброе имя, деловая репутация и т.д связанны с личностью человека. Эти блага бесценны в прямом и переносном смысле слова. Все нематериальные блага лишены экономического содержания, они являются неотчуждаемыми и непередаваемым, характеризуя при этом статус человека как гражданина и субъекта права, в подтверждении этого нам дают отдельные положения  </w:t>
      </w:r>
      <w:r>
        <w:rPr>
          <w:rFonts w:ascii="Times New Roman" w:eastAsia="Times New Roman" w:hAnsi="Times New Roman" w:cs="Times New Roman"/>
          <w:sz w:val="24"/>
          <w:szCs w:val="24"/>
        </w:rPr>
        <w:lastRenderedPageBreak/>
        <w:t xml:space="preserve">Конституция Российской Федерации: </w:t>
      </w:r>
      <w:r>
        <w:rPr>
          <w:rFonts w:ascii="Times New Roman" w:hAnsi="Times New Roman" w:cs="Times New Roman"/>
          <w:sz w:val="24"/>
          <w:szCs w:val="24"/>
          <w:shd w:val="clear" w:color="auto" w:fill="FFFFFF"/>
        </w:rPr>
        <w:t xml:space="preserve">жизнь (ст.20); 2) честь и доброе имя (ст. 23); 3) достоинство личности (ст. 21); 4) личная свобода и неприкосновенность личности (ст. 22). </w:t>
      </w:r>
    </w:p>
    <w:p w14:paraId="6186BFC9" w14:textId="77777777" w:rsidR="001B6C3B" w:rsidRDefault="001B6C3B" w:rsidP="001B6C3B">
      <w:pPr>
        <w:pStyle w:val="a8"/>
        <w:ind w:firstLine="709"/>
        <w:jc w:val="both"/>
        <w:rPr>
          <w:rFonts w:ascii="Times New Roman" w:eastAsia="Times New Roman" w:hAnsi="Times New Roman" w:cs="Times New Roman"/>
          <w:sz w:val="24"/>
          <w:szCs w:val="24"/>
        </w:rPr>
      </w:pPr>
      <w:r>
        <w:rPr>
          <w:rFonts w:ascii="Times New Roman" w:hAnsi="Times New Roman" w:cs="Times New Roman"/>
          <w:sz w:val="24"/>
          <w:szCs w:val="24"/>
          <w:shd w:val="clear" w:color="auto" w:fill="FFFFFF"/>
        </w:rPr>
        <w:t>Выдающийся русский правовед И. А. Покровский отмечал, что с развитием общества перед правом возникает задача «помимо охраны человека в его общей, родовой сущности, в его типичных интересах, дать охрану конкретной личности во всем богатстве ее своеобразных особенностей и творческих проявлений</w:t>
      </w:r>
      <w:r>
        <w:rPr>
          <w:rStyle w:val="a7"/>
          <w:rFonts w:ascii="Times New Roman" w:hAnsi="Times New Roman" w:cs="Times New Roman"/>
          <w:sz w:val="24"/>
          <w:szCs w:val="24"/>
          <w:shd w:val="clear" w:color="auto" w:fill="FFFFFF"/>
        </w:rPr>
        <w:footnoteReference w:id="8"/>
      </w:r>
      <w:r>
        <w:rPr>
          <w:rFonts w:ascii="Times New Roman" w:hAnsi="Times New Roman" w:cs="Times New Roman"/>
          <w:sz w:val="24"/>
          <w:szCs w:val="24"/>
          <w:shd w:val="clear" w:color="auto" w:fill="FFFFFF"/>
        </w:rPr>
        <w:t>.</w:t>
      </w:r>
    </w:p>
    <w:p w14:paraId="09785E8F" w14:textId="77777777" w:rsidR="001B6C3B" w:rsidRDefault="001B6C3B" w:rsidP="001B6C3B">
      <w:pPr>
        <w:pStyle w:val="a8"/>
        <w:ind w:firstLine="709"/>
        <w:jc w:val="both"/>
        <w:rPr>
          <w:rFonts w:ascii="Times New Roman" w:hAnsi="Times New Roman" w:cs="Times New Roman"/>
          <w:sz w:val="24"/>
          <w:szCs w:val="24"/>
        </w:rPr>
      </w:pPr>
      <w:r>
        <w:rPr>
          <w:rFonts w:ascii="Times New Roman" w:eastAsia="Times New Roman" w:hAnsi="Times New Roman" w:cs="Times New Roman"/>
          <w:sz w:val="24"/>
          <w:szCs w:val="24"/>
        </w:rPr>
        <w:t xml:space="preserve">Нарушение нематериальных благ в нынешнее время сильно распространено. Существует ряд документов, в которых закреплены положения об этих правах и благах. Первый документ появился в СССР в 1991 году - это декларация прав и свобод человека, утвержденная Верховным Советом Российской Федерации 22 ноября 1991 г. И многие положения этого важного документа были включены в текст Российской Конституции. </w:t>
      </w:r>
      <w:r>
        <w:rPr>
          <w:rFonts w:ascii="Times New Roman" w:hAnsi="Times New Roman" w:cs="Times New Roman"/>
          <w:sz w:val="24"/>
          <w:szCs w:val="24"/>
        </w:rPr>
        <w:t>Статья 150 Гражданского кодекса, закрепляет перечень нематериальных благ, а именно ж</w:t>
      </w:r>
      <w:r>
        <w:rPr>
          <w:rFonts w:ascii="Times New Roman" w:hAnsi="Times New Roman" w:cs="Times New Roman"/>
          <w:sz w:val="24"/>
          <w:szCs w:val="24"/>
          <w:shd w:val="clear" w:color="auto" w:fill="FFFFFF"/>
        </w:rPr>
        <w:t>изнь и здоровье, достоинство личности, личная неприкосновенность, честь и доброе имя, деловая репутация, неприкосновенность частной жизни, неприкосновенность жилища, личная и семейная тайна, свобода передвижения, свобода выбора места пребывания и жительства, имя гражданина, авторство, иные нематериальные блага, принадлежащие гражданину от рождения или в силу закона, неотчуждаемы и непередаваемы иным способом.</w:t>
      </w:r>
      <w:r>
        <w:rPr>
          <w:rStyle w:val="a7"/>
          <w:rFonts w:ascii="Times New Roman" w:hAnsi="Times New Roman" w:cs="Times New Roman"/>
          <w:sz w:val="24"/>
          <w:szCs w:val="24"/>
          <w:shd w:val="clear" w:color="auto" w:fill="FFFFFF"/>
        </w:rPr>
        <w:footnoteReference w:id="9"/>
      </w:r>
      <w:r>
        <w:rPr>
          <w:rFonts w:ascii="Times New Roman" w:hAnsi="Times New Roman" w:cs="Times New Roman"/>
          <w:sz w:val="24"/>
          <w:szCs w:val="24"/>
          <w:shd w:val="clear" w:color="auto" w:fill="FFFFFF"/>
        </w:rPr>
        <w:t xml:space="preserve">  А, </w:t>
      </w:r>
      <w:r>
        <w:rPr>
          <w:rFonts w:ascii="Times New Roman" w:hAnsi="Times New Roman" w:cs="Times New Roman"/>
          <w:sz w:val="24"/>
          <w:szCs w:val="24"/>
        </w:rPr>
        <w:t>согласно статье 128 ГК РФ к объектам гражданских прав относятся</w:t>
      </w:r>
      <w:r>
        <w:rPr>
          <w:rFonts w:ascii="Times New Roman" w:hAnsi="Times New Roman" w:cs="Times New Roman"/>
          <w:sz w:val="24"/>
          <w:szCs w:val="24"/>
          <w:shd w:val="clear" w:color="auto" w:fill="FFFFFF"/>
        </w:rPr>
        <w:t xml:space="preserve"> вещи (включая наличные деньги и документарные ценные бумаги), иное имущество, в том числе имущественные права (включая безналичные денежные средства, бездокументарные ценные бумаги, цифровые права); результаты работ и оказание услуг; охраняемые результаты интеллектуальной деятельности и приравненные к ним средства индивидуализации (интеллектуальная собственность); нематериальные блага.</w:t>
      </w:r>
      <w:r>
        <w:rPr>
          <w:rStyle w:val="a7"/>
          <w:rFonts w:ascii="Times New Roman" w:hAnsi="Times New Roman" w:cs="Times New Roman"/>
          <w:sz w:val="24"/>
          <w:szCs w:val="24"/>
          <w:shd w:val="clear" w:color="auto" w:fill="FFFFFF"/>
        </w:rPr>
        <w:footnoteReference w:id="10"/>
      </w:r>
      <w:r>
        <w:rPr>
          <w:rFonts w:ascii="Times New Roman" w:hAnsi="Times New Roman" w:cs="Times New Roman"/>
          <w:sz w:val="24"/>
          <w:szCs w:val="24"/>
          <w:shd w:val="clear" w:color="auto" w:fill="FFFFFF"/>
        </w:rPr>
        <w:t xml:space="preserve"> </w:t>
      </w:r>
    </w:p>
    <w:p w14:paraId="69D053F0"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 xml:space="preserve">Таким образом, как мы видим, само понятие нематериальных благ законодательно не закреплено, что приводит к ряду теоретических проблем. В данном случае законодатель лишь относит нематериальные блага к объектам гражданских прав.  Так же данный перечень в статье 150 ГК РФ не является исчерпывающим, а это значит что возможно отнесение других нематериальных благ, не закрепленных в законе, например национальный язык или голос. Для начала, чтобы дать определения нематериальным благам и проанализировать различные подходы ученных по этому поводу, необходимо сказать, что в научной литературе очень часто  поднимается вопрос касательно смешения понятий «нематериальные благ» и «личные неимущественные права». Однако смешение данных понятий недопустимо. Вот, что говорят ученные по этому поводу. </w:t>
      </w:r>
    </w:p>
    <w:p w14:paraId="7830FCAB"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Например, Т.А. Фадеева считает, что понятие «нематериальное благо» используется законодателем в качестве собирательного, вследствие чего оно относится и к самому «благу», и к личным неимущественным правам.</w:t>
      </w:r>
      <w:r>
        <w:rPr>
          <w:rStyle w:val="a7"/>
          <w:rFonts w:ascii="Times New Roman" w:hAnsi="Times New Roman" w:cs="Times New Roman"/>
          <w:sz w:val="24"/>
          <w:szCs w:val="24"/>
        </w:rPr>
        <w:footnoteReference w:id="11"/>
      </w:r>
      <w:r>
        <w:rPr>
          <w:rFonts w:ascii="Times New Roman" w:hAnsi="Times New Roman" w:cs="Times New Roman"/>
          <w:sz w:val="24"/>
          <w:szCs w:val="24"/>
        </w:rPr>
        <w:t xml:space="preserve">Отсюда получается, что понятие нематериальные блага шире и включают в себя как сами нематериальные блага, та и права на них (личные неимущественные) </w:t>
      </w:r>
    </w:p>
    <w:p w14:paraId="0A5A2E33"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 xml:space="preserve"> И И.В. Бакаева говорит о том, что смешение понятий происходит из-за наименования нормы ст. 150 ГК РФ «нематериальные блага» и единого перечня, обозначенного в данной норме, где наряду с собственно нематериальными благами как таковыми обозначены личные неимущественные права</w:t>
      </w:r>
      <w:r>
        <w:rPr>
          <w:rStyle w:val="a7"/>
          <w:rFonts w:ascii="Times New Roman" w:hAnsi="Times New Roman" w:cs="Times New Roman"/>
          <w:sz w:val="24"/>
          <w:szCs w:val="24"/>
        </w:rPr>
        <w:footnoteReference w:id="12"/>
      </w:r>
      <w:r>
        <w:rPr>
          <w:rFonts w:ascii="Times New Roman" w:hAnsi="Times New Roman" w:cs="Times New Roman"/>
          <w:sz w:val="24"/>
          <w:szCs w:val="24"/>
        </w:rPr>
        <w:t xml:space="preserve">. Таким образом, можно сделать вывод, что одним из оснований такой дискуссии между ученными, послужило, что имеющийся перечь нематериальных благ в законе, включал не только блага как объекты гражданских прав, но и права на них. </w:t>
      </w:r>
    </w:p>
    <w:p w14:paraId="40AB1A97"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lastRenderedPageBreak/>
        <w:t>В настоящее время данный вопрос был решен на законодательном уровне, было учтено мнение научного сообщества в вопросе о разграничении указанных понятий. И теперь в новой редакции ст. 150 ГК РФ</w:t>
      </w:r>
      <w:r>
        <w:rPr>
          <w:rStyle w:val="a7"/>
          <w:rFonts w:ascii="Times New Roman" w:hAnsi="Times New Roman" w:cs="Times New Roman"/>
          <w:sz w:val="24"/>
          <w:szCs w:val="24"/>
        </w:rPr>
        <w:footnoteReference w:id="13"/>
      </w:r>
      <w:r>
        <w:rPr>
          <w:rFonts w:ascii="Times New Roman" w:hAnsi="Times New Roman" w:cs="Times New Roman"/>
          <w:sz w:val="24"/>
          <w:szCs w:val="24"/>
        </w:rPr>
        <w:t xml:space="preserve"> личные неимущественные права: право на свободное передвижение, право выбора места пребывания и жительства, право на имя, право авторства, были переименованы в нематериальные блага: свобода передвижения, свобода выбора места пребывания и жительства, имя гражданина, авторство. Но повторюсь, до сих пор не был решен вопрос о закреплении понятия нематериальные блага в законе. И для начала стоит разобраться, что такое благо в его общем виде.</w:t>
      </w:r>
    </w:p>
    <w:p w14:paraId="7F27F84E" w14:textId="77777777" w:rsidR="001B6C3B" w:rsidRDefault="001B6C3B" w:rsidP="001B6C3B">
      <w:pPr>
        <w:pStyle w:val="a8"/>
        <w:ind w:firstLine="709"/>
        <w:jc w:val="both"/>
        <w:rPr>
          <w:rFonts w:ascii="Times New Roman" w:hAnsi="Times New Roman" w:cs="Times New Roman"/>
          <w:sz w:val="24"/>
          <w:szCs w:val="24"/>
          <w:shd w:val="clear" w:color="auto" w:fill="FFFFFF"/>
        </w:rPr>
      </w:pPr>
      <w:r>
        <w:rPr>
          <w:rFonts w:ascii="Times New Roman" w:hAnsi="Times New Roman" w:cs="Times New Roman"/>
          <w:sz w:val="24"/>
          <w:szCs w:val="24"/>
        </w:rPr>
        <w:t>В различное время использовались такие  термины для обозначения этих благ: личные нематериальные, личные неимущественные, личные, и наконец просто нематериальные.</w:t>
      </w:r>
      <w:r>
        <w:rPr>
          <w:rFonts w:ascii="Times New Roman" w:hAnsi="Times New Roman" w:cs="Times New Roman"/>
          <w:sz w:val="24"/>
          <w:szCs w:val="24"/>
          <w:shd w:val="clear" w:color="auto" w:fill="FFFFFF"/>
        </w:rPr>
        <w:t xml:space="preserve"> </w:t>
      </w:r>
      <w:r>
        <w:rPr>
          <w:rFonts w:ascii="Times New Roman" w:hAnsi="Times New Roman" w:cs="Times New Roman"/>
          <w:sz w:val="24"/>
          <w:szCs w:val="24"/>
        </w:rPr>
        <w:t xml:space="preserve">А впервые в советской литературе категория «личные блага» появилась в трудах М. М. Агаркова. В качестве личных благ он назвал жизнь, телесную неприкосновенность, здоровье, честь, достоинство, имя, авторство и определил их как блага, не отделимые от личности. </w:t>
      </w:r>
    </w:p>
    <w:p w14:paraId="3B6DC64A"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По мнению профессора А.П. Сергеева, нематериальные блага – это неразрывно связанные с личностью носителя, непередаваемые и неотчуждаемые духовные ценности внеэкономического характера, которые направлены на всестороннее обеспечение существования личности и вокруг которых складывается поведение субъектов гражданского права. Также автор указывает на то, что в отношении данных благ предпочтительнее употреблять термин «личные неимущественные», поскольку данный термин лучше отражает их особенности.</w:t>
      </w:r>
      <w:r>
        <w:rPr>
          <w:rStyle w:val="a7"/>
          <w:rFonts w:ascii="Times New Roman" w:hAnsi="Times New Roman" w:cs="Times New Roman"/>
          <w:sz w:val="24"/>
          <w:szCs w:val="24"/>
        </w:rPr>
        <w:footnoteReference w:id="14"/>
      </w:r>
    </w:p>
    <w:p w14:paraId="7D5CEBC2"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Т.А. Фаддеева под нематериальными благами предлагает понимать такие блага и свободы, которые не имеют экономического содержания, неотделимы от личности и признаны действующим законодательством.</w:t>
      </w:r>
      <w:r>
        <w:rPr>
          <w:rStyle w:val="a7"/>
          <w:rFonts w:ascii="Times New Roman" w:hAnsi="Times New Roman" w:cs="Times New Roman"/>
          <w:sz w:val="24"/>
          <w:szCs w:val="24"/>
        </w:rPr>
        <w:footnoteReference w:id="15"/>
      </w:r>
      <w:r>
        <w:rPr>
          <w:rFonts w:ascii="Times New Roman" w:hAnsi="Times New Roman" w:cs="Times New Roman"/>
          <w:sz w:val="24"/>
          <w:szCs w:val="24"/>
        </w:rPr>
        <w:t xml:space="preserve"> </w:t>
      </w:r>
    </w:p>
    <w:p w14:paraId="70CD5A60"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 xml:space="preserve">Так же в литературе распространен подход в соответствии, с которым понятие нематериальных благ – это просто перечисленный перечень. Мы не согласны с таким подходом, так как не удается наиболее полно показать в чем сущность этих благ. </w:t>
      </w:r>
    </w:p>
    <w:p w14:paraId="1110FA1B"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На мой взгляд, наиболее удачное определение понятия «нематериальное благо» было предложено М.Н. Малеиной, по мнению которой нематериальные блага следует понимать как объект субъективного личного неимущественного права, обладающий индивидуальной и социальной духовной ценностью, не имеющий стандартных параметров, не отделимый от личности при жизни физического лица.</w:t>
      </w:r>
      <w:r>
        <w:rPr>
          <w:rStyle w:val="a7"/>
          <w:rFonts w:ascii="Times New Roman" w:hAnsi="Times New Roman" w:cs="Times New Roman"/>
          <w:sz w:val="24"/>
          <w:szCs w:val="24"/>
        </w:rPr>
        <w:footnoteReference w:id="16"/>
      </w:r>
      <w:r>
        <w:rPr>
          <w:rFonts w:ascii="Times New Roman" w:hAnsi="Times New Roman" w:cs="Times New Roman"/>
          <w:sz w:val="24"/>
          <w:szCs w:val="24"/>
        </w:rPr>
        <w:t xml:space="preserve"> Данное определение понятие помогает наиболее полно охарактеризовать сущность нематериальных благ, их отличительные признаки и свойства.</w:t>
      </w:r>
    </w:p>
    <w:p w14:paraId="5357A092"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Что касается особенностей нематериальных благ, то здесь важен вопрос о защите нематериальных благ и гражданских прав, так как в юридической литературе, до сих пор не существует единого мнения, о том, что понимается под защитой нематериальных благ.  Но прежде всего, нематериальные блага являются   по своему характеру абсолютными, то есть их носителю противостоит неограниченный круг обязанных лиц, которые в свою очередь должны воздерживаться от совершений действий нарушающих права других лиц. Это касается всех как физических, так и юридических лиц. Но в случае посягательства на такие права гражданина, они подлежат гражданско – правовой защите. Основная цель – восстановление нарушенных прав.</w:t>
      </w:r>
    </w:p>
    <w:p w14:paraId="63B7D4CF"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В  юридической литературе существует несколько подходов к понятию защиты нематериальных благ. И так же существенна проблема по отождествлению понятий «охрана гражданских прав» и «защита гражданских прав».</w:t>
      </w:r>
    </w:p>
    <w:p w14:paraId="1E6BE5E3"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lastRenderedPageBreak/>
        <w:t>Так, например, Г.Н. Стоякин отождествляя понятия «охрана» и «защита» права дает предлагает понимать их как систему правового регулирования общественных отношений, которая предотвращает правонарушения, а в случае их совершения устанавливает ответственность за допущенные правонарушения</w:t>
      </w:r>
      <w:r>
        <w:rPr>
          <w:rStyle w:val="a7"/>
          <w:rFonts w:ascii="Times New Roman" w:hAnsi="Times New Roman" w:cs="Times New Roman"/>
          <w:sz w:val="24"/>
          <w:szCs w:val="24"/>
        </w:rPr>
        <w:footnoteReference w:id="17"/>
      </w:r>
      <w:r>
        <w:rPr>
          <w:rFonts w:ascii="Times New Roman" w:hAnsi="Times New Roman" w:cs="Times New Roman"/>
          <w:sz w:val="24"/>
          <w:szCs w:val="24"/>
        </w:rPr>
        <w:t xml:space="preserve">. </w:t>
      </w:r>
    </w:p>
    <w:p w14:paraId="2C5F0364"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В.А. Тархов указывает на то, охрана обеспечивается, прежде всего, государством, предусматривающим субъективные права и их защиту, а носитель права может сам предпринять различные меры охраны своих интерес, то есть, необходимость прибегнуть к защите права появляется лишь при его нарушении, оспаривании либо угрозе нарушения</w:t>
      </w:r>
      <w:r>
        <w:rPr>
          <w:rStyle w:val="a7"/>
          <w:rFonts w:ascii="Times New Roman" w:hAnsi="Times New Roman" w:cs="Times New Roman"/>
          <w:sz w:val="24"/>
          <w:szCs w:val="24"/>
        </w:rPr>
        <w:footnoteReference w:id="18"/>
      </w:r>
      <w:r>
        <w:rPr>
          <w:rFonts w:ascii="Times New Roman" w:hAnsi="Times New Roman" w:cs="Times New Roman"/>
          <w:sz w:val="24"/>
          <w:szCs w:val="24"/>
        </w:rPr>
        <w:t>.</w:t>
      </w:r>
    </w:p>
    <w:p w14:paraId="5411E992"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Таким образом, мнения авторов различны, но на наш взгляд следует применить следующее понятие гражданско – правовой защиты – это возможность субъекта права прибегнуть к принудительным мерам в отношении правонарушителя, которые (меры) могут осуществляться как  самим субъектом, чье право нарушено, так и органами государственной власти, а именно по восстановлению нарушенных интересов.</w:t>
      </w:r>
    </w:p>
    <w:p w14:paraId="4E3A6280"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Итак, что говорит закон поповоду защиты нематериальных благ.</w:t>
      </w:r>
    </w:p>
    <w:p w14:paraId="30E1A7E3"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Согласно п. 2 ст. 2 ГК РФ неотчуждаемые права и свободы человека и другие нематериальные блага защищаются гражданским законодательством, если иное не вытекает из существа этих нематериальных благ</w:t>
      </w:r>
      <w:r>
        <w:rPr>
          <w:rStyle w:val="a7"/>
          <w:rFonts w:ascii="Times New Roman" w:hAnsi="Times New Roman" w:cs="Times New Roman"/>
          <w:sz w:val="24"/>
          <w:szCs w:val="24"/>
        </w:rPr>
        <w:footnoteReference w:id="19"/>
      </w:r>
      <w:r>
        <w:rPr>
          <w:rFonts w:ascii="Times New Roman" w:hAnsi="Times New Roman" w:cs="Times New Roman"/>
          <w:sz w:val="24"/>
          <w:szCs w:val="24"/>
        </w:rPr>
        <w:t xml:space="preserve">. </w:t>
      </w:r>
    </w:p>
    <w:p w14:paraId="5BF26BB5"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В соответствии с п 2. Ст. 150 ГК РФ нематериальные блага защищаются в соответствии ГК РФ и другими законами в случаях и в порядке, ими предусмотренных, а также в тех случаях и пределах, в каких использование способов защиты гражданских прав вытекает из существа нарушенного нематериального блага или личного неимущественного права и характера последствий этого нарушения</w:t>
      </w:r>
      <w:r>
        <w:rPr>
          <w:rStyle w:val="a7"/>
          <w:rFonts w:ascii="Times New Roman" w:hAnsi="Times New Roman" w:cs="Times New Roman"/>
          <w:sz w:val="24"/>
          <w:szCs w:val="24"/>
        </w:rPr>
        <w:footnoteReference w:id="20"/>
      </w:r>
      <w:r>
        <w:rPr>
          <w:rFonts w:ascii="Times New Roman" w:hAnsi="Times New Roman" w:cs="Times New Roman"/>
          <w:sz w:val="24"/>
          <w:szCs w:val="24"/>
        </w:rPr>
        <w:t xml:space="preserve">. </w:t>
      </w:r>
    </w:p>
    <w:p w14:paraId="7E1ADA17"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Если сделать вывод, то защита нематериальных благ возможна в двух случаях: 1. когда допускается возможность использования общих способов защиты способы, перечисленные в статье 12 Гражданского кодекса. 2. Использование специальных способов защиты, применительно к защите конкретных нематериальных благ (например, статьи 19, 152 ГК РФ)</w:t>
      </w:r>
    </w:p>
    <w:p w14:paraId="672D8E4D"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Под способами защиты в общем виде понимаются установленные в законе меры принудительного характера, посредством которых происходит восстановление нарушенных прав. Разберемся с общими способами защиты нематериальных благ.</w:t>
      </w:r>
    </w:p>
    <w:p w14:paraId="59B91A2E" w14:textId="77777777" w:rsidR="001B6C3B" w:rsidRDefault="001B6C3B" w:rsidP="001B6C3B">
      <w:pPr>
        <w:pStyle w:val="a8"/>
        <w:ind w:firstLine="709"/>
        <w:jc w:val="both"/>
        <w:rPr>
          <w:rFonts w:ascii="Times New Roman" w:eastAsia="Times New Roman" w:hAnsi="Times New Roman" w:cs="Times New Roman"/>
          <w:sz w:val="24"/>
          <w:szCs w:val="24"/>
        </w:rPr>
      </w:pPr>
      <w:r>
        <w:rPr>
          <w:rFonts w:ascii="Times New Roman" w:hAnsi="Times New Roman" w:cs="Times New Roman"/>
          <w:sz w:val="24"/>
          <w:szCs w:val="24"/>
        </w:rPr>
        <w:t xml:space="preserve">Согласно статье 12 Гражданского Кодекса, </w:t>
      </w:r>
      <w:r>
        <w:rPr>
          <w:rFonts w:ascii="Times New Roman" w:eastAsia="Times New Roman" w:hAnsi="Times New Roman" w:cs="Times New Roman"/>
          <w:sz w:val="24"/>
          <w:szCs w:val="24"/>
        </w:rPr>
        <w:t>защита гражданских прав осуществляется путем:</w:t>
      </w:r>
      <w:bookmarkStart w:id="1" w:name="dst100073"/>
      <w:bookmarkEnd w:id="1"/>
      <w:r>
        <w:rPr>
          <w:rFonts w:ascii="Times New Roman" w:eastAsia="Times New Roman" w:hAnsi="Times New Roman" w:cs="Times New Roman"/>
          <w:sz w:val="24"/>
          <w:szCs w:val="24"/>
        </w:rPr>
        <w:t xml:space="preserve"> признания права;</w:t>
      </w:r>
      <w:bookmarkStart w:id="2" w:name="dst100074"/>
      <w:bookmarkEnd w:id="2"/>
      <w:r>
        <w:rPr>
          <w:rFonts w:ascii="Times New Roman" w:eastAsia="Times New Roman" w:hAnsi="Times New Roman" w:cs="Times New Roman"/>
          <w:sz w:val="24"/>
          <w:szCs w:val="24"/>
        </w:rPr>
        <w:t xml:space="preserve"> восстановления положения, существовавшего до нарушения права, и пресечения действий, нарушающих право или создающих угрозу его нарушения;</w:t>
      </w:r>
      <w:bookmarkStart w:id="3" w:name="dst100075"/>
      <w:bookmarkEnd w:id="3"/>
      <w:r>
        <w:rPr>
          <w:rFonts w:ascii="Times New Roman" w:eastAsia="Times New Roman" w:hAnsi="Times New Roman" w:cs="Times New Roman"/>
          <w:sz w:val="24"/>
          <w:szCs w:val="24"/>
        </w:rPr>
        <w:t xml:space="preserve"> признания оспоримой сделки недействительной и применения последствий ее недействительности, применения </w:t>
      </w:r>
      <w:hyperlink r:id="rId12" w:anchor="dst100949" w:history="1">
        <w:r>
          <w:rPr>
            <w:rStyle w:val="a9"/>
            <w:rFonts w:ascii="Times New Roman" w:hAnsi="Times New Roman" w:cs="Times New Roman"/>
            <w:sz w:val="24"/>
            <w:szCs w:val="24"/>
          </w:rPr>
          <w:t>последствий</w:t>
        </w:r>
      </w:hyperlink>
      <w:r>
        <w:rPr>
          <w:rFonts w:ascii="Times New Roman" w:hAnsi="Times New Roman" w:cs="Times New Roman"/>
          <w:sz w:val="24"/>
          <w:szCs w:val="24"/>
        </w:rPr>
        <w:t> </w:t>
      </w:r>
      <w:r>
        <w:rPr>
          <w:rFonts w:ascii="Times New Roman" w:eastAsia="Times New Roman" w:hAnsi="Times New Roman" w:cs="Times New Roman"/>
          <w:sz w:val="24"/>
          <w:szCs w:val="24"/>
        </w:rPr>
        <w:t>недействительности ничтожной сделки;</w:t>
      </w:r>
      <w:bookmarkStart w:id="4" w:name="dst267"/>
      <w:bookmarkEnd w:id="4"/>
      <w:r>
        <w:rPr>
          <w:rFonts w:ascii="Times New Roman" w:eastAsia="Times New Roman" w:hAnsi="Times New Roman" w:cs="Times New Roman"/>
          <w:sz w:val="24"/>
          <w:szCs w:val="24"/>
        </w:rPr>
        <w:t xml:space="preserve"> признания недействительным решения собрания;</w:t>
      </w:r>
      <w:bookmarkStart w:id="5" w:name="dst100076"/>
      <w:bookmarkEnd w:id="5"/>
      <w:r>
        <w:rPr>
          <w:rFonts w:ascii="Times New Roman" w:eastAsia="Times New Roman" w:hAnsi="Times New Roman" w:cs="Times New Roman"/>
          <w:sz w:val="24"/>
          <w:szCs w:val="24"/>
        </w:rPr>
        <w:t xml:space="preserve"> признания недействительным акта государственного органа или органа местного самоуправления;</w:t>
      </w:r>
      <w:bookmarkStart w:id="6" w:name="dst100077"/>
      <w:bookmarkEnd w:id="6"/>
      <w:r>
        <w:rPr>
          <w:rFonts w:ascii="Times New Roman" w:eastAsia="Times New Roman" w:hAnsi="Times New Roman" w:cs="Times New Roman"/>
          <w:sz w:val="24"/>
          <w:szCs w:val="24"/>
        </w:rPr>
        <w:t xml:space="preserve"> </w:t>
      </w:r>
      <w:hyperlink r:id="rId13" w:anchor="dst100029" w:history="1">
        <w:r>
          <w:rPr>
            <w:rStyle w:val="a9"/>
            <w:rFonts w:ascii="Times New Roman" w:hAnsi="Times New Roman" w:cs="Times New Roman"/>
            <w:sz w:val="24"/>
            <w:szCs w:val="24"/>
          </w:rPr>
          <w:t>самозащиты</w:t>
        </w:r>
      </w:hyperlink>
      <w:r>
        <w:rPr>
          <w:rFonts w:ascii="Times New Roman" w:eastAsia="Times New Roman" w:hAnsi="Times New Roman" w:cs="Times New Roman"/>
          <w:sz w:val="24"/>
          <w:szCs w:val="24"/>
        </w:rPr>
        <w:t> права;</w:t>
      </w:r>
      <w:bookmarkStart w:id="7" w:name="dst100078"/>
      <w:bookmarkEnd w:id="7"/>
      <w:r>
        <w:rPr>
          <w:rFonts w:ascii="Times New Roman" w:eastAsia="Times New Roman" w:hAnsi="Times New Roman" w:cs="Times New Roman"/>
          <w:sz w:val="24"/>
          <w:szCs w:val="24"/>
        </w:rPr>
        <w:t xml:space="preserve"> присуждения к исполнению обязанности в натуре;</w:t>
      </w:r>
      <w:bookmarkStart w:id="8" w:name="dst100079"/>
      <w:bookmarkEnd w:id="8"/>
      <w:r>
        <w:rPr>
          <w:rFonts w:ascii="Times New Roman" w:eastAsia="Times New Roman" w:hAnsi="Times New Roman" w:cs="Times New Roman"/>
          <w:sz w:val="24"/>
          <w:szCs w:val="24"/>
        </w:rPr>
        <w:t xml:space="preserve"> возмещения убытков;</w:t>
      </w:r>
      <w:bookmarkStart w:id="9" w:name="dst100080"/>
      <w:bookmarkEnd w:id="9"/>
      <w:r>
        <w:rPr>
          <w:rFonts w:ascii="Times New Roman" w:eastAsia="Times New Roman" w:hAnsi="Times New Roman" w:cs="Times New Roman"/>
          <w:sz w:val="24"/>
          <w:szCs w:val="24"/>
        </w:rPr>
        <w:t xml:space="preserve"> взыскания неустойки;</w:t>
      </w:r>
      <w:bookmarkStart w:id="10" w:name="dst100081"/>
      <w:bookmarkEnd w:id="10"/>
      <w:r>
        <w:rPr>
          <w:rFonts w:ascii="Times New Roman" w:eastAsia="Times New Roman" w:hAnsi="Times New Roman" w:cs="Times New Roman"/>
          <w:sz w:val="24"/>
          <w:szCs w:val="24"/>
        </w:rPr>
        <w:t xml:space="preserve"> компенсации морального вреда</w:t>
      </w:r>
      <w:bookmarkStart w:id="11" w:name="dst100082"/>
      <w:bookmarkStart w:id="12" w:name="dst100084"/>
      <w:bookmarkEnd w:id="11"/>
      <w:bookmarkEnd w:id="12"/>
      <w:r>
        <w:rPr>
          <w:rFonts w:ascii="Times New Roman" w:eastAsia="Times New Roman" w:hAnsi="Times New Roman" w:cs="Times New Roman"/>
          <w:sz w:val="24"/>
          <w:szCs w:val="24"/>
        </w:rPr>
        <w:t xml:space="preserve"> иными способами, предусмотренными законом</w:t>
      </w:r>
      <w:r>
        <w:rPr>
          <w:rStyle w:val="a7"/>
          <w:rFonts w:ascii="Times New Roman" w:eastAsia="Times New Roman" w:hAnsi="Times New Roman" w:cs="Times New Roman"/>
          <w:sz w:val="24"/>
          <w:szCs w:val="24"/>
        </w:rPr>
        <w:footnoteReference w:id="21"/>
      </w:r>
      <w:r>
        <w:rPr>
          <w:rFonts w:ascii="Times New Roman" w:eastAsia="Times New Roman" w:hAnsi="Times New Roman" w:cs="Times New Roman"/>
          <w:sz w:val="24"/>
          <w:szCs w:val="24"/>
        </w:rPr>
        <w:t>.</w:t>
      </w:r>
    </w:p>
    <w:p w14:paraId="2D2E3A5E" w14:textId="77777777" w:rsidR="001B6C3B" w:rsidRDefault="001B6C3B" w:rsidP="001B6C3B">
      <w:pPr>
        <w:pStyle w:val="a8"/>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Таким образом, делаем выводы: </w:t>
      </w:r>
    </w:p>
    <w:p w14:paraId="6181F1F3" w14:textId="77777777" w:rsidR="001B6C3B" w:rsidRDefault="001B6C3B" w:rsidP="00E3198A">
      <w:pPr>
        <w:pStyle w:val="a8"/>
        <w:numPr>
          <w:ilvl w:val="0"/>
          <w:numId w:val="5"/>
        </w:numPr>
        <w:ind w:left="0"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все перечисленные выше способы относятся не только к неимущественным правам, но и к имущественным, то есть для защиты любого субъективного права.</w:t>
      </w:r>
    </w:p>
    <w:p w14:paraId="512BF442" w14:textId="77777777" w:rsidR="001B6C3B" w:rsidRDefault="001B6C3B" w:rsidP="00E3198A">
      <w:pPr>
        <w:pStyle w:val="a8"/>
        <w:numPr>
          <w:ilvl w:val="0"/>
          <w:numId w:val="5"/>
        </w:numPr>
        <w:ind w:left="0"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перечень данных способов является открытым, иные способы которые не включены в данный перечень, являются специальными, предназначены для защиты отдельных прав, но об этом расскажем в следующей главе.</w:t>
      </w:r>
    </w:p>
    <w:p w14:paraId="1E4660EB" w14:textId="77777777" w:rsidR="001B6C3B" w:rsidRDefault="001B6C3B" w:rsidP="00E3198A">
      <w:pPr>
        <w:pStyle w:val="a8"/>
        <w:numPr>
          <w:ilvl w:val="0"/>
          <w:numId w:val="5"/>
        </w:numPr>
        <w:ind w:left="0"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Субъект  сам выбирает способ защиты нарушенного права, а не суд.</w:t>
      </w:r>
    </w:p>
    <w:p w14:paraId="0D00E227" w14:textId="77777777" w:rsidR="001B6C3B" w:rsidRDefault="001B6C3B" w:rsidP="00E3198A">
      <w:pPr>
        <w:pStyle w:val="a8"/>
        <w:numPr>
          <w:ilvl w:val="0"/>
          <w:numId w:val="5"/>
        </w:numPr>
        <w:ind w:left="0"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Не все перечисленные способы в статье 12 применимы для защиты нематериальных благ.</w:t>
      </w:r>
    </w:p>
    <w:p w14:paraId="75F0B048" w14:textId="77777777" w:rsidR="001B6C3B" w:rsidRDefault="001B6C3B" w:rsidP="001B6C3B">
      <w:pPr>
        <w:pStyle w:val="a8"/>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Например, такое благо как право на здоровье, принадлежит человеку от рождения, и до конца жизни, данное благо непередаваемое, а потому к нему нельзя применить способ признания права. К такому выводу приходила М.Н. Малеина. </w:t>
      </w:r>
    </w:p>
    <w:p w14:paraId="2DA7AA40" w14:textId="77777777" w:rsidR="001B6C3B" w:rsidRDefault="001B6C3B" w:rsidP="001B6C3B">
      <w:pPr>
        <w:pStyle w:val="a8"/>
        <w:ind w:firstLine="709"/>
        <w:jc w:val="both"/>
        <w:rPr>
          <w:rFonts w:ascii="Times New Roman" w:hAnsi="Times New Roman" w:cs="Times New Roman"/>
          <w:sz w:val="24"/>
          <w:szCs w:val="24"/>
          <w:shd w:val="clear" w:color="auto" w:fill="FFFFFF"/>
        </w:rPr>
      </w:pPr>
      <w:r>
        <w:rPr>
          <w:rFonts w:ascii="Times New Roman" w:hAnsi="Times New Roman" w:cs="Times New Roman"/>
          <w:sz w:val="24"/>
          <w:szCs w:val="24"/>
        </w:rPr>
        <w:t xml:space="preserve">Таким образом, можно сделать вывод, что не все способы в статье 12 ГК РФ, применимы для защиты нематериальных благ. Но применимы следующие способы: 1) признание права; 2) восстановление положения, существовавшего до нарушения права, и пресечение действий, нарушающих право или создающих угрозу его нарушения; </w:t>
      </w:r>
      <w:r>
        <w:rPr>
          <w:rFonts w:ascii="Times New Roman" w:hAnsi="Times New Roman" w:cs="Times New Roman"/>
          <w:sz w:val="24"/>
          <w:szCs w:val="24"/>
          <w:shd w:val="clear" w:color="auto" w:fill="FFFFFF"/>
        </w:rPr>
        <w:t xml:space="preserve">компенсации морального вреда; публикации решения суда о допущенном нарушении. </w:t>
      </w:r>
    </w:p>
    <w:p w14:paraId="143B28E7"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Но как мы упоминали выше, не все права подлежат восстановлению, так например, право на жизнь или на здоровье, не могут быть восстановлены в той мере в какой должны были быть,  или разглашение тайны, поэтому одно из часто применяемых в судебной практике способов – это компенсация морального вреда.</w:t>
      </w:r>
    </w:p>
    <w:p w14:paraId="3C9CDC9E"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 xml:space="preserve"> Что нам говорит закон. Согласно ст. 151 ГК РФ, если гражданину причинен моральный вред (физические или нравственные страдания) действиями, нарушающими его личные неимущественные права либо посягающими на принадлежащие гражданину нематериальные блага, а также в других случаях, предусмотренных законом, суд может возложить на нарушителя обязанность денежной компенсации указанного вреда</w:t>
      </w:r>
      <w:r>
        <w:rPr>
          <w:rStyle w:val="a7"/>
          <w:rFonts w:ascii="Times New Roman" w:hAnsi="Times New Roman" w:cs="Times New Roman"/>
          <w:sz w:val="24"/>
          <w:szCs w:val="24"/>
        </w:rPr>
        <w:footnoteReference w:id="22"/>
      </w:r>
      <w:r>
        <w:rPr>
          <w:rFonts w:ascii="Times New Roman" w:hAnsi="Times New Roman" w:cs="Times New Roman"/>
          <w:sz w:val="24"/>
          <w:szCs w:val="24"/>
        </w:rPr>
        <w:t>.</w:t>
      </w:r>
    </w:p>
    <w:p w14:paraId="68C863CD"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Потребность в данном способе защиты, зачастую возникает при причинении вреда здоровью человека. Так пострадавшему, чтобы восстановить здоровье может потребоваться помощь в медикаментах, в препаратах, в медицинском лечении, что влечет за собой определенные расходы, и нравственные страдания. Соответственно у пострадавшего возникает право по статье 1086 ГК РФ требовать возмещения причиненного вреда, дополнительных расходов, вызванных повреждением здоровья, а также компенсации морального вреда. Но что конкретно мы должны компенсировать?. Что же такое моральный вред?</w:t>
      </w:r>
    </w:p>
    <w:p w14:paraId="6AA99779"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Проанализировав статью 151 ГК РФ, мы видим, что законодатель под моральным вредом понимает физические и нравственные страдания, но этого недостаточно, обратимся к  Постановлениию Пленума Верховного Суда РФ от 20 декабря 1994 г. N 10 "Некоторые вопросы применения законодательства о компенсации морального вреда"  в котором содержится разъяснение, что под моральным вредом предлагается понимать нравственные или физические страдания, причиненные действиями (бездействием), посягающими на принадлежащие гражданину от рождения или в силу закона нематериальные блага (жизнь, здоровье, достоинство личности, деловая репутация, неприкосновенность частной жизни, личная и семейная тайна и т.п.) или нарушающими его личные неимущественные права (право на пользование своим именем, право авторства и другие неимущественные права в соответствии с законами об охране прав на результаты интеллектуальной деятельности) либо нарушающими имущественные права гражданина. Но чтобы у гражданина возникло право на компенсацию морального вреда, испытывать физические или нравственные страдания будет мало, необходимо наличие вины, как одно из обязательных условий наступления ответственности. И вина правонарушителя должна быть доказана в первую очередь в судебном порядке</w:t>
      </w:r>
    </w:p>
    <w:p w14:paraId="0724DB4C" w14:textId="77777777" w:rsidR="001B6C3B" w:rsidRDefault="001B6C3B" w:rsidP="001B6C3B">
      <w:pPr>
        <w:pStyle w:val="a8"/>
        <w:ind w:firstLine="709"/>
        <w:jc w:val="both"/>
        <w:rPr>
          <w:rFonts w:ascii="Times New Roman" w:hAnsi="Times New Roman" w:cs="Times New Roman"/>
          <w:sz w:val="24"/>
          <w:szCs w:val="24"/>
          <w:shd w:val="clear" w:color="auto" w:fill="FFFFFF"/>
        </w:rPr>
      </w:pPr>
      <w:r>
        <w:rPr>
          <w:rFonts w:ascii="Times New Roman" w:hAnsi="Times New Roman" w:cs="Times New Roman"/>
          <w:sz w:val="24"/>
          <w:szCs w:val="24"/>
        </w:rPr>
        <w:t>Итак как же определяется размер морального вреда? Размер морального вреда, прежде всего, определяется судом, на основании принципа разумности и справедливости. И может зависеть от следующего:</w:t>
      </w:r>
      <w:r>
        <w:rPr>
          <w:rFonts w:ascii="Times New Roman" w:hAnsi="Times New Roman" w:cs="Times New Roman"/>
          <w:sz w:val="24"/>
          <w:szCs w:val="24"/>
          <w:shd w:val="clear" w:color="auto" w:fill="FFFFFF"/>
        </w:rPr>
        <w:t xml:space="preserve"> </w:t>
      </w:r>
    </w:p>
    <w:p w14:paraId="2BFD9A06"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shd w:val="clear" w:color="auto" w:fill="FFFFFF"/>
        </w:rPr>
        <w:t xml:space="preserve">1. от характера и объема причиненных истцу нравственных или физических страданий; </w:t>
      </w:r>
    </w:p>
    <w:p w14:paraId="3B0AA07C" w14:textId="77777777" w:rsidR="001B6C3B" w:rsidRDefault="001B6C3B" w:rsidP="001B6C3B">
      <w:pPr>
        <w:pStyle w:val="a8"/>
        <w:ind w:firstLine="709"/>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2. от степени вины ответчика в каждом конкретном случае; </w:t>
      </w:r>
    </w:p>
    <w:p w14:paraId="21BB99C1"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shd w:val="clear" w:color="auto" w:fill="FFFFFF"/>
        </w:rPr>
        <w:lastRenderedPageBreak/>
        <w:t>3.от иных заслуживающих внимания обстоятельств</w:t>
      </w:r>
      <w:r>
        <w:rPr>
          <w:rStyle w:val="a7"/>
          <w:rFonts w:ascii="Times New Roman" w:hAnsi="Times New Roman" w:cs="Times New Roman"/>
          <w:sz w:val="24"/>
          <w:szCs w:val="24"/>
          <w:shd w:val="clear" w:color="auto" w:fill="FFFFFF"/>
        </w:rPr>
        <w:footnoteReference w:id="23"/>
      </w:r>
      <w:r>
        <w:rPr>
          <w:rFonts w:ascii="Times New Roman" w:hAnsi="Times New Roman" w:cs="Times New Roman"/>
          <w:sz w:val="24"/>
          <w:szCs w:val="24"/>
          <w:shd w:val="clear" w:color="auto" w:fill="FFFFFF"/>
        </w:rPr>
        <w:t>.</w:t>
      </w:r>
      <w:r>
        <w:rPr>
          <w:rFonts w:ascii="Times New Roman" w:hAnsi="Times New Roman" w:cs="Times New Roman"/>
          <w:sz w:val="24"/>
          <w:szCs w:val="24"/>
        </w:rPr>
        <w:br/>
        <w:t xml:space="preserve">Стоит помнить, что компенсация морального вреда осуществляется только в денежной форме, иные формы запрещены законодательством. </w:t>
      </w:r>
    </w:p>
    <w:p w14:paraId="35063963"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В юридической литературе существует множество споров касательно права юридического лица на компенсацию морального вреда. И многие авторы, большинство авторов имеют отрицательную точку зрения.  Так, например, по мнению, А. Боннера физические и нравственные страдания свойственны только человеку, юридическому же лицу моральный вред причинен быть не может</w:t>
      </w:r>
      <w:r>
        <w:rPr>
          <w:rStyle w:val="a7"/>
          <w:rFonts w:ascii="Times New Roman" w:hAnsi="Times New Roman" w:cs="Times New Roman"/>
          <w:sz w:val="24"/>
          <w:szCs w:val="24"/>
        </w:rPr>
        <w:footnoteReference w:id="24"/>
      </w:r>
      <w:r>
        <w:rPr>
          <w:rFonts w:ascii="Times New Roman" w:hAnsi="Times New Roman" w:cs="Times New Roman"/>
          <w:sz w:val="24"/>
          <w:szCs w:val="24"/>
        </w:rPr>
        <w:t>.</w:t>
      </w:r>
    </w:p>
    <w:p w14:paraId="4AD44E40"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А, по мнению, В.А. Тархова, во всех случаях, когда имеется коллектив юридического лица, допустимо говорить о претерпевании им различных чувств, например, физических страданий, чувства обиды за недооценку предприятия</w:t>
      </w:r>
      <w:r>
        <w:rPr>
          <w:rStyle w:val="a7"/>
          <w:rFonts w:ascii="Times New Roman" w:hAnsi="Times New Roman" w:cs="Times New Roman"/>
          <w:sz w:val="24"/>
          <w:szCs w:val="24"/>
        </w:rPr>
        <w:footnoteReference w:id="25"/>
      </w:r>
      <w:r>
        <w:rPr>
          <w:rFonts w:ascii="Times New Roman" w:hAnsi="Times New Roman" w:cs="Times New Roman"/>
          <w:sz w:val="24"/>
          <w:szCs w:val="24"/>
        </w:rPr>
        <w:t>. Таким образом, данный вопрос обсуждается в научной литературе, но на законодательном уровне не урегулирован до сих пор, основная причина рассматриваемой проблемы лежит в определении морального вреда как физических и нравственных страданий - категории, неприменимой к конструкции юридического лица.</w:t>
      </w:r>
    </w:p>
    <w:p w14:paraId="4DCACB6F"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 xml:space="preserve">Таким образом, подводя итог вышесказанному, из всех перечисленных способов защиты нематериальных благ в законодательстве, самым эффективным и распространенным является компенсация морального вреда, потому как она применима для защиты  большинства нематериальных благ, перечисленных в статье 150 ГК РФ, что нельзя сказать о других. Так же в данном вопросе  касательно юридических лиц законодатель до сих пор не поставил точку, все это приводит к противоречивости в судебной арбитражной практике. Однако мы считаем, что так как гражданин не единственный кто участвует в гражданских правоотношениях, не правильно оставлять без внимания защиту нематериальных благ юридических лиц, а именно взыскание в их пользу нематериального вреда. </w:t>
      </w:r>
    </w:p>
    <w:p w14:paraId="77EB4786" w14:textId="77777777" w:rsidR="001B6C3B" w:rsidRDefault="001B6C3B" w:rsidP="001B6C3B">
      <w:pPr>
        <w:pStyle w:val="a8"/>
        <w:ind w:firstLine="709"/>
        <w:jc w:val="both"/>
        <w:rPr>
          <w:rFonts w:ascii="Times New Roman" w:eastAsia="Times New Roman" w:hAnsi="Times New Roman" w:cs="Times New Roman"/>
          <w:sz w:val="24"/>
          <w:szCs w:val="24"/>
        </w:rPr>
      </w:pPr>
    </w:p>
    <w:p w14:paraId="1823D698" w14:textId="77777777" w:rsidR="001B6C3B" w:rsidRDefault="001B6C3B" w:rsidP="001B6C3B">
      <w:pPr>
        <w:pStyle w:val="a8"/>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Список литературы и нормативных актов:</w:t>
      </w:r>
    </w:p>
    <w:p w14:paraId="31EC42E3" w14:textId="77777777" w:rsidR="001B6C3B" w:rsidRDefault="001B6C3B" w:rsidP="00E3198A">
      <w:pPr>
        <w:pStyle w:val="a5"/>
        <w:numPr>
          <w:ilvl w:val="0"/>
          <w:numId w:val="6"/>
        </w:numPr>
        <w:ind w:left="0" w:firstLine="709"/>
        <w:jc w:val="both"/>
        <w:rPr>
          <w:rFonts w:ascii="Times New Roman" w:hAnsi="Times New Roman" w:cs="Times New Roman"/>
          <w:sz w:val="24"/>
          <w:szCs w:val="24"/>
        </w:rPr>
      </w:pPr>
      <w:r>
        <w:rPr>
          <w:rFonts w:ascii="Times New Roman" w:hAnsi="Times New Roman" w:cs="Times New Roman"/>
          <w:sz w:val="24"/>
          <w:szCs w:val="24"/>
        </w:rPr>
        <w:t>Гражданский кодекс Российской Федерации (часть первая) от 30.11.1994 N 51-ФЗ (ред. от 16.12.2019) // Справочно-правовая система «Консультант Плюс»: [Электронный ресурс]</w:t>
      </w:r>
    </w:p>
    <w:p w14:paraId="4FCEC4BF" w14:textId="77777777" w:rsidR="001B6C3B" w:rsidRDefault="001B6C3B" w:rsidP="00E3198A">
      <w:pPr>
        <w:pStyle w:val="a5"/>
        <w:numPr>
          <w:ilvl w:val="0"/>
          <w:numId w:val="6"/>
        </w:numPr>
        <w:ind w:left="0" w:firstLine="709"/>
        <w:jc w:val="both"/>
        <w:rPr>
          <w:rFonts w:ascii="Times New Roman" w:hAnsi="Times New Roman" w:cs="Times New Roman"/>
          <w:sz w:val="24"/>
          <w:szCs w:val="24"/>
        </w:rPr>
      </w:pPr>
      <w:r>
        <w:rPr>
          <w:rFonts w:ascii="Times New Roman" w:hAnsi="Times New Roman" w:cs="Times New Roman"/>
          <w:sz w:val="24"/>
          <w:szCs w:val="24"/>
        </w:rPr>
        <w:t>Боннер А. Можно ли причинить моральный вред юридическому лицу? // Российская юстиция. 1996. № 6 С. 44.</w:t>
      </w:r>
    </w:p>
    <w:p w14:paraId="4A5EBBC3" w14:textId="77777777" w:rsidR="001B6C3B" w:rsidRDefault="001B6C3B" w:rsidP="00E3198A">
      <w:pPr>
        <w:pStyle w:val="a5"/>
        <w:numPr>
          <w:ilvl w:val="0"/>
          <w:numId w:val="6"/>
        </w:numPr>
        <w:ind w:left="0" w:firstLine="709"/>
        <w:jc w:val="both"/>
        <w:rPr>
          <w:rFonts w:ascii="Times New Roman" w:hAnsi="Times New Roman" w:cs="Times New Roman"/>
          <w:sz w:val="24"/>
          <w:szCs w:val="24"/>
        </w:rPr>
      </w:pPr>
      <w:r>
        <w:rPr>
          <w:rFonts w:ascii="Times New Roman" w:hAnsi="Times New Roman" w:cs="Times New Roman"/>
          <w:sz w:val="24"/>
          <w:szCs w:val="24"/>
        </w:rPr>
        <w:t>Бакаева И.В. Понятие и признаки нематериальных благ: законодательство, теория и практика // Законы России: опыт, анализ, практика. 2012. N 4.</w:t>
      </w:r>
    </w:p>
    <w:p w14:paraId="2F5602A7" w14:textId="77777777" w:rsidR="001B6C3B" w:rsidRDefault="001B6C3B" w:rsidP="00E3198A">
      <w:pPr>
        <w:pStyle w:val="a5"/>
        <w:numPr>
          <w:ilvl w:val="0"/>
          <w:numId w:val="6"/>
        </w:numPr>
        <w:ind w:left="0" w:firstLine="709"/>
        <w:jc w:val="both"/>
        <w:rPr>
          <w:rFonts w:ascii="Times New Roman" w:hAnsi="Times New Roman" w:cs="Times New Roman"/>
          <w:sz w:val="24"/>
          <w:szCs w:val="24"/>
        </w:rPr>
      </w:pPr>
      <w:r>
        <w:rPr>
          <w:rFonts w:ascii="Times New Roman" w:hAnsi="Times New Roman" w:cs="Times New Roman"/>
          <w:sz w:val="24"/>
          <w:szCs w:val="24"/>
        </w:rPr>
        <w:t xml:space="preserve">Гражданское право Т. 1 : учебник : в 3 т. / Е. Н. Абрамова, Н. Н. Аверченко, Ю. В. Байгушева и др. ; под ред. А. П. Сергеева. М. : Велби, 2010. </w:t>
      </w:r>
    </w:p>
    <w:p w14:paraId="11B0A034" w14:textId="77777777" w:rsidR="001B6C3B" w:rsidRDefault="001B6C3B" w:rsidP="00E3198A">
      <w:pPr>
        <w:pStyle w:val="a5"/>
        <w:numPr>
          <w:ilvl w:val="0"/>
          <w:numId w:val="6"/>
        </w:numPr>
        <w:ind w:left="0" w:firstLine="709"/>
        <w:jc w:val="both"/>
        <w:rPr>
          <w:rFonts w:ascii="Times New Roman" w:hAnsi="Times New Roman" w:cs="Times New Roman"/>
          <w:sz w:val="24"/>
          <w:szCs w:val="24"/>
        </w:rPr>
      </w:pPr>
      <w:r>
        <w:rPr>
          <w:rFonts w:ascii="Times New Roman" w:hAnsi="Times New Roman" w:cs="Times New Roman"/>
          <w:sz w:val="24"/>
          <w:szCs w:val="24"/>
        </w:rPr>
        <w:t>Гражданское право: учебник / под ред. А.П. Сергеева, Ю.К. Толстого. Т. 1. 6-е изд. М., 2002. С. 378</w:t>
      </w:r>
    </w:p>
    <w:p w14:paraId="3FFEB512" w14:textId="77777777" w:rsidR="001B6C3B" w:rsidRDefault="001B6C3B" w:rsidP="00E3198A">
      <w:pPr>
        <w:pStyle w:val="a5"/>
        <w:numPr>
          <w:ilvl w:val="0"/>
          <w:numId w:val="6"/>
        </w:numPr>
        <w:ind w:left="0" w:firstLine="709"/>
        <w:jc w:val="both"/>
        <w:rPr>
          <w:rFonts w:ascii="Times New Roman" w:hAnsi="Times New Roman" w:cs="Times New Roman"/>
          <w:sz w:val="24"/>
          <w:szCs w:val="24"/>
        </w:rPr>
      </w:pPr>
      <w:r>
        <w:rPr>
          <w:rFonts w:ascii="Times New Roman" w:hAnsi="Times New Roman" w:cs="Times New Roman"/>
          <w:sz w:val="24"/>
          <w:szCs w:val="24"/>
        </w:rPr>
        <w:t>Гражданское право: Учебник: В 3 т. Т. 1. 6-е изд., перераб. и доп. / Под ред. А. П. Сергеева, Ю. К. Толстого. М.: ТК "Велби"; Проспект, 2003. С. 379 - 380.</w:t>
      </w:r>
    </w:p>
    <w:p w14:paraId="297546A3" w14:textId="77777777" w:rsidR="001B6C3B" w:rsidRDefault="001B6C3B" w:rsidP="00E3198A">
      <w:pPr>
        <w:pStyle w:val="a5"/>
        <w:numPr>
          <w:ilvl w:val="0"/>
          <w:numId w:val="6"/>
        </w:numPr>
        <w:ind w:left="0" w:firstLine="709"/>
        <w:jc w:val="both"/>
        <w:rPr>
          <w:rFonts w:ascii="Times New Roman" w:hAnsi="Times New Roman" w:cs="Times New Roman"/>
          <w:sz w:val="24"/>
          <w:szCs w:val="24"/>
        </w:rPr>
      </w:pPr>
      <w:r>
        <w:rPr>
          <w:rFonts w:ascii="Times New Roman" w:hAnsi="Times New Roman" w:cs="Times New Roman"/>
          <w:sz w:val="24"/>
          <w:szCs w:val="24"/>
        </w:rPr>
        <w:t>Малеина М.Н. Понятие и виды нематериальных благ как объектов личных неимущественных прав // Государство и право", 2014, N 7// СПС "КонсультантПлюс.</w:t>
      </w:r>
    </w:p>
    <w:p w14:paraId="13239F8D" w14:textId="77777777" w:rsidR="001B6C3B" w:rsidRDefault="001B6C3B" w:rsidP="00E3198A">
      <w:pPr>
        <w:pStyle w:val="a5"/>
        <w:numPr>
          <w:ilvl w:val="0"/>
          <w:numId w:val="6"/>
        </w:numPr>
        <w:ind w:left="0" w:firstLine="709"/>
        <w:jc w:val="both"/>
        <w:rPr>
          <w:rFonts w:ascii="Times New Roman" w:hAnsi="Times New Roman" w:cs="Times New Roman"/>
          <w:sz w:val="24"/>
          <w:szCs w:val="24"/>
        </w:rPr>
      </w:pPr>
      <w:r>
        <w:rPr>
          <w:rFonts w:ascii="Times New Roman" w:hAnsi="Times New Roman" w:cs="Times New Roman"/>
          <w:sz w:val="24"/>
          <w:szCs w:val="24"/>
        </w:rPr>
        <w:t>Покровский И. А. Основные проблемы гражданского права. М., 1998. С. 121</w:t>
      </w:r>
    </w:p>
    <w:p w14:paraId="58ACB0E0" w14:textId="77777777" w:rsidR="001B6C3B" w:rsidRDefault="001B6C3B" w:rsidP="00E3198A">
      <w:pPr>
        <w:pStyle w:val="a8"/>
        <w:numPr>
          <w:ilvl w:val="0"/>
          <w:numId w:val="6"/>
        </w:numPr>
        <w:ind w:left="0" w:firstLine="709"/>
        <w:jc w:val="both"/>
        <w:rPr>
          <w:rFonts w:ascii="Times New Roman" w:eastAsia="Times New Roman" w:hAnsi="Times New Roman" w:cs="Times New Roman"/>
          <w:sz w:val="24"/>
          <w:szCs w:val="24"/>
        </w:rPr>
      </w:pPr>
      <w:r>
        <w:rPr>
          <w:rFonts w:ascii="Times New Roman" w:hAnsi="Times New Roman" w:cs="Times New Roman"/>
          <w:sz w:val="24"/>
          <w:szCs w:val="24"/>
        </w:rPr>
        <w:t>Стоякин Г.Н. Понятие «защита гражданских прав» // Проблемы гражданско-правовой ответственности защиты гражданских прав. Свердловск, 1973. С. 30-35.</w:t>
      </w:r>
    </w:p>
    <w:p w14:paraId="740A543E" w14:textId="77777777" w:rsidR="001B6C3B" w:rsidRDefault="001B6C3B" w:rsidP="00E3198A">
      <w:pPr>
        <w:pStyle w:val="a5"/>
        <w:numPr>
          <w:ilvl w:val="0"/>
          <w:numId w:val="6"/>
        </w:numPr>
        <w:ind w:left="0" w:firstLine="709"/>
        <w:jc w:val="both"/>
        <w:rPr>
          <w:rFonts w:ascii="Times New Roman" w:hAnsi="Times New Roman" w:cs="Times New Roman"/>
          <w:sz w:val="24"/>
          <w:szCs w:val="24"/>
        </w:rPr>
      </w:pPr>
      <w:r>
        <w:rPr>
          <w:rFonts w:ascii="Times New Roman" w:hAnsi="Times New Roman" w:cs="Times New Roman"/>
          <w:sz w:val="24"/>
          <w:szCs w:val="24"/>
        </w:rPr>
        <w:t>Тархов В.А. Гражданское право. Общая часть С. 207</w:t>
      </w:r>
    </w:p>
    <w:p w14:paraId="4B4ECAAE" w14:textId="77777777" w:rsidR="001B6C3B" w:rsidRDefault="001B6C3B" w:rsidP="001B6C3B">
      <w:pPr>
        <w:spacing w:after="0" w:line="240" w:lineRule="auto"/>
        <w:rPr>
          <w:rFonts w:ascii="Times New Roman" w:hAnsi="Times New Roman" w:cs="Times New Roman"/>
          <w:sz w:val="24"/>
          <w:szCs w:val="24"/>
        </w:rPr>
        <w:sectPr w:rsidR="001B6C3B">
          <w:footnotePr>
            <w:numRestart w:val="eachPage"/>
          </w:footnotePr>
          <w:pgSz w:w="11906" w:h="16838"/>
          <w:pgMar w:top="1134" w:right="1134" w:bottom="1134" w:left="1134" w:header="709" w:footer="709" w:gutter="0"/>
          <w:cols w:space="720"/>
        </w:sectPr>
      </w:pPr>
    </w:p>
    <w:p w14:paraId="28C24E4D" w14:textId="77777777" w:rsidR="001B6C3B" w:rsidRDefault="001B6C3B" w:rsidP="001B6C3B">
      <w:pPr>
        <w:pStyle w:val="2"/>
        <w:spacing w:before="0" w:beforeAutospacing="0" w:after="0" w:afterAutospacing="0"/>
        <w:ind w:left="5387"/>
        <w:rPr>
          <w:rStyle w:val="FontStyle19"/>
          <w:sz w:val="24"/>
          <w:szCs w:val="24"/>
        </w:rPr>
      </w:pPr>
      <w:r>
        <w:rPr>
          <w:rStyle w:val="FontStyle19"/>
          <w:sz w:val="24"/>
          <w:szCs w:val="24"/>
        </w:rPr>
        <w:lastRenderedPageBreak/>
        <w:t>УДК 347.121.2</w:t>
      </w:r>
    </w:p>
    <w:p w14:paraId="4142B8B0" w14:textId="77777777" w:rsidR="001B6C3B" w:rsidRDefault="001B6C3B" w:rsidP="001B6C3B">
      <w:pPr>
        <w:pStyle w:val="Style3"/>
        <w:widowControl/>
        <w:spacing w:line="240" w:lineRule="auto"/>
        <w:ind w:left="5387" w:firstLine="709"/>
        <w:rPr>
          <w:rStyle w:val="FontStyle19"/>
          <w:b/>
          <w:i w:val="0"/>
          <w:caps/>
        </w:rPr>
      </w:pPr>
    </w:p>
    <w:p w14:paraId="37B4142D" w14:textId="77777777" w:rsidR="001B6C3B" w:rsidRDefault="001B6C3B" w:rsidP="001B6C3B">
      <w:pPr>
        <w:suppressAutoHyphens/>
        <w:spacing w:after="0" w:line="240" w:lineRule="auto"/>
        <w:ind w:left="5387"/>
        <w:jc w:val="both"/>
        <w:rPr>
          <w:sz w:val="24"/>
          <w:szCs w:val="24"/>
        </w:rPr>
      </w:pPr>
      <w:r>
        <w:rPr>
          <w:rFonts w:ascii="Times New Roman" w:hAnsi="Times New Roman" w:cs="Times New Roman"/>
          <w:b/>
          <w:sz w:val="24"/>
          <w:szCs w:val="24"/>
        </w:rPr>
        <w:t>Алиев Руфат Рафаэлович</w:t>
      </w:r>
    </w:p>
    <w:p w14:paraId="1276CCD4" w14:textId="77777777" w:rsidR="001B6C3B" w:rsidRDefault="001B6C3B" w:rsidP="001B6C3B">
      <w:pPr>
        <w:suppressAutoHyphens/>
        <w:spacing w:after="0" w:line="240" w:lineRule="auto"/>
        <w:ind w:left="5387"/>
        <w:jc w:val="both"/>
        <w:rPr>
          <w:rFonts w:ascii="Times New Roman" w:hAnsi="Times New Roman" w:cs="Times New Roman"/>
          <w:b/>
          <w:sz w:val="24"/>
          <w:szCs w:val="24"/>
        </w:rPr>
      </w:pPr>
      <w:r>
        <w:rPr>
          <w:rFonts w:ascii="Times New Roman" w:hAnsi="Times New Roman" w:cs="Times New Roman"/>
          <w:b/>
          <w:sz w:val="24"/>
          <w:szCs w:val="24"/>
        </w:rPr>
        <w:t>Aliev Rufat Rafaelovich</w:t>
      </w:r>
    </w:p>
    <w:p w14:paraId="729CA99E" w14:textId="77777777" w:rsidR="001B6C3B" w:rsidRDefault="001B6C3B" w:rsidP="001B6C3B">
      <w:pPr>
        <w:spacing w:after="0" w:line="240" w:lineRule="auto"/>
        <w:ind w:left="5387"/>
        <w:jc w:val="both"/>
        <w:rPr>
          <w:rFonts w:ascii="Times New Roman" w:hAnsi="Times New Roman" w:cs="Times New Roman"/>
          <w:sz w:val="24"/>
          <w:szCs w:val="24"/>
        </w:rPr>
      </w:pPr>
      <w:r>
        <w:rPr>
          <w:rFonts w:ascii="Times New Roman" w:hAnsi="Times New Roman" w:cs="Times New Roman"/>
          <w:sz w:val="24"/>
          <w:szCs w:val="24"/>
        </w:rPr>
        <w:t>магистрант Федеральное государственное бюджетное образовательное учреждение высшего образования «Кубанский государственный аграрный университет имени И.Т. Трубилина»</w:t>
      </w:r>
    </w:p>
    <w:p w14:paraId="7F2412F9" w14:textId="77777777" w:rsidR="001B6C3B" w:rsidRDefault="001B6C3B" w:rsidP="001B6C3B">
      <w:pPr>
        <w:pStyle w:val="ConsPlusNormal"/>
        <w:ind w:left="5387"/>
        <w:jc w:val="both"/>
        <w:rPr>
          <w:lang w:eastAsia="en-US"/>
        </w:rPr>
      </w:pPr>
      <w:r>
        <w:rPr>
          <w:lang w:eastAsia="en-US"/>
        </w:rPr>
        <w:t>Federal State Budgetary Educational Institution of Higher Education</w:t>
      </w:r>
    </w:p>
    <w:p w14:paraId="25F8CEF9" w14:textId="77777777" w:rsidR="001B6C3B" w:rsidRDefault="001B6C3B" w:rsidP="001B6C3B">
      <w:pPr>
        <w:pStyle w:val="ConsPlusNormal"/>
        <w:ind w:left="5387"/>
        <w:jc w:val="both"/>
        <w:rPr>
          <w:lang w:eastAsia="en-US"/>
        </w:rPr>
      </w:pPr>
      <w:r>
        <w:rPr>
          <w:lang w:eastAsia="en-US"/>
        </w:rPr>
        <w:t>“Kuban State Agrarian University named after I.T. Trubilin”</w:t>
      </w:r>
    </w:p>
    <w:p w14:paraId="5528EB51" w14:textId="77777777" w:rsidR="001B6C3B" w:rsidRDefault="001B6C3B" w:rsidP="001B6C3B">
      <w:pPr>
        <w:pStyle w:val="ConsPlusNormal"/>
        <w:ind w:left="5387"/>
        <w:jc w:val="both"/>
        <w:rPr>
          <w:lang w:val="ru-RU" w:eastAsia="en-US"/>
        </w:rPr>
      </w:pPr>
      <w:r>
        <w:rPr>
          <w:lang w:val="ru-RU" w:eastAsia="en-US"/>
        </w:rPr>
        <w:t>Российская Федерация, г. Краснодар</w:t>
      </w:r>
    </w:p>
    <w:p w14:paraId="1DD8597F" w14:textId="77777777" w:rsidR="001B6C3B" w:rsidRDefault="001B6C3B" w:rsidP="001B6C3B">
      <w:pPr>
        <w:pStyle w:val="ConsPlusNormal"/>
        <w:ind w:left="5387"/>
        <w:jc w:val="both"/>
        <w:rPr>
          <w:lang w:val="ru-RU" w:eastAsia="en-US"/>
        </w:rPr>
      </w:pPr>
      <w:r>
        <w:rPr>
          <w:lang w:eastAsia="en-US"/>
        </w:rPr>
        <w:t>RussianFederation</w:t>
      </w:r>
      <w:r>
        <w:rPr>
          <w:lang w:val="ru-RU" w:eastAsia="en-US"/>
        </w:rPr>
        <w:t xml:space="preserve">, </w:t>
      </w:r>
      <w:r>
        <w:rPr>
          <w:lang w:eastAsia="en-US"/>
        </w:rPr>
        <w:t>Krasnodar</w:t>
      </w:r>
    </w:p>
    <w:p w14:paraId="0FEE132A" w14:textId="77777777" w:rsidR="001B6C3B" w:rsidRDefault="001B6C3B" w:rsidP="001B6C3B">
      <w:pPr>
        <w:spacing w:after="0" w:line="240" w:lineRule="auto"/>
        <w:ind w:left="5387"/>
        <w:jc w:val="both"/>
        <w:rPr>
          <w:rFonts w:ascii="Times New Roman" w:hAnsi="Times New Roman" w:cs="Times New Roman"/>
          <w:sz w:val="24"/>
          <w:szCs w:val="24"/>
        </w:rPr>
      </w:pPr>
      <w:r>
        <w:rPr>
          <w:rFonts w:ascii="Times New Roman" w:hAnsi="Times New Roman" w:cs="Times New Roman"/>
          <w:sz w:val="24"/>
          <w:szCs w:val="24"/>
          <w:lang w:val="en-US"/>
        </w:rPr>
        <w:t>ronny</w:t>
      </w:r>
      <w:r>
        <w:rPr>
          <w:rFonts w:ascii="Times New Roman" w:hAnsi="Times New Roman" w:cs="Times New Roman"/>
          <w:sz w:val="24"/>
          <w:szCs w:val="24"/>
        </w:rPr>
        <w:t>6174@</w:t>
      </w:r>
      <w:r>
        <w:rPr>
          <w:rFonts w:ascii="Times New Roman" w:hAnsi="Times New Roman" w:cs="Times New Roman"/>
          <w:sz w:val="24"/>
          <w:szCs w:val="24"/>
          <w:lang w:val="en-US"/>
        </w:rPr>
        <w:t>gmail</w:t>
      </w:r>
      <w:r>
        <w:rPr>
          <w:rFonts w:ascii="Times New Roman" w:hAnsi="Times New Roman" w:cs="Times New Roman"/>
          <w:sz w:val="24"/>
          <w:szCs w:val="24"/>
        </w:rPr>
        <w:t>.</w:t>
      </w:r>
      <w:r>
        <w:rPr>
          <w:rFonts w:ascii="Times New Roman" w:hAnsi="Times New Roman" w:cs="Times New Roman"/>
          <w:sz w:val="24"/>
          <w:szCs w:val="24"/>
          <w:lang w:val="en-US"/>
        </w:rPr>
        <w:t>com</w:t>
      </w:r>
    </w:p>
    <w:p w14:paraId="3B61E44F" w14:textId="77777777" w:rsidR="001B6C3B" w:rsidRDefault="001B6C3B" w:rsidP="001B6C3B">
      <w:pPr>
        <w:pStyle w:val="Style3"/>
        <w:widowControl/>
        <w:spacing w:line="240" w:lineRule="auto"/>
        <w:ind w:firstLine="709"/>
        <w:jc w:val="center"/>
        <w:rPr>
          <w:rStyle w:val="FontStyle19"/>
          <w:b/>
          <w:i w:val="0"/>
          <w:caps/>
        </w:rPr>
      </w:pPr>
    </w:p>
    <w:p w14:paraId="3580916D" w14:textId="77777777" w:rsidR="001B6C3B" w:rsidRDefault="001B6C3B" w:rsidP="001B6C3B">
      <w:pPr>
        <w:pStyle w:val="Style3"/>
        <w:widowControl/>
        <w:spacing w:line="240" w:lineRule="auto"/>
        <w:ind w:firstLine="709"/>
        <w:jc w:val="center"/>
        <w:rPr>
          <w:rStyle w:val="FontStyle19"/>
          <w:b/>
          <w:i w:val="0"/>
          <w:caps/>
        </w:rPr>
      </w:pPr>
      <w:r>
        <w:rPr>
          <w:rStyle w:val="FontStyle19"/>
          <w:b/>
          <w:caps/>
        </w:rPr>
        <w:t>исковая давность как один из видов давности</w:t>
      </w:r>
    </w:p>
    <w:p w14:paraId="2057DD90" w14:textId="77777777" w:rsidR="001B6C3B" w:rsidRDefault="001B6C3B" w:rsidP="001B6C3B">
      <w:pPr>
        <w:pStyle w:val="Style3"/>
        <w:widowControl/>
        <w:spacing w:line="240" w:lineRule="auto"/>
        <w:ind w:firstLine="709"/>
        <w:jc w:val="center"/>
        <w:rPr>
          <w:rStyle w:val="FontStyle19"/>
          <w:b/>
          <w:i w:val="0"/>
          <w:caps/>
        </w:rPr>
      </w:pPr>
    </w:p>
    <w:p w14:paraId="65DBA46B" w14:textId="77777777" w:rsidR="001B6C3B" w:rsidRDefault="001B6C3B" w:rsidP="001B6C3B">
      <w:pPr>
        <w:pStyle w:val="Style3"/>
        <w:widowControl/>
        <w:spacing w:line="240" w:lineRule="auto"/>
        <w:ind w:firstLine="709"/>
        <w:jc w:val="center"/>
        <w:rPr>
          <w:lang w:val="en-US"/>
        </w:rPr>
      </w:pPr>
      <w:r>
        <w:rPr>
          <w:b/>
          <w:lang w:val="en-US"/>
        </w:rPr>
        <w:t>STATUTE OF LIMITATIONS AS A TYPE OF LIMITATION</w:t>
      </w:r>
    </w:p>
    <w:p w14:paraId="363F852C" w14:textId="77777777" w:rsidR="001B6C3B" w:rsidRDefault="001B6C3B" w:rsidP="001B6C3B">
      <w:pPr>
        <w:pStyle w:val="Style3"/>
        <w:widowControl/>
        <w:spacing w:line="240" w:lineRule="auto"/>
        <w:ind w:firstLine="709"/>
        <w:rPr>
          <w:b/>
          <w:lang w:val="en-US"/>
        </w:rPr>
      </w:pPr>
    </w:p>
    <w:p w14:paraId="3DE4BCD4"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Аннотация: в статье рассматриваются вопросы становления института исковой давности от момента первого упоминания понятия «давность» в классическом древнем римском праве до формирования и закрепления в качестве полноценного самостоятельного гражданско-правового института в современном представлении посредством анализа положений нормативных правовых актов, мнений ученых, личных размышлений, а также путем исследования сущности данного института на различных стадиях его развития в определенный исторический период.</w:t>
      </w:r>
    </w:p>
    <w:p w14:paraId="0B2CF4AC"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Ключевые слова: давность; приобретательная давность; исковая давность;  истец;  собственник; давностный владелец;  вещь; срок;  иск;  право.</w:t>
      </w:r>
    </w:p>
    <w:p w14:paraId="56B3344A" w14:textId="77777777" w:rsidR="001B6C3B" w:rsidRDefault="001B6C3B" w:rsidP="001B6C3B">
      <w:pPr>
        <w:pStyle w:val="a8"/>
        <w:ind w:firstLine="709"/>
        <w:jc w:val="both"/>
        <w:rPr>
          <w:rFonts w:ascii="Times New Roman" w:hAnsi="Times New Roman" w:cs="Times New Roman"/>
          <w:sz w:val="24"/>
          <w:szCs w:val="24"/>
          <w:lang w:val="en-US"/>
        </w:rPr>
      </w:pPr>
      <w:r>
        <w:rPr>
          <w:rFonts w:ascii="Times New Roman" w:hAnsi="Times New Roman" w:cs="Times New Roman"/>
          <w:i/>
          <w:iCs/>
        </w:rPr>
        <w:t>А</w:t>
      </w:r>
      <w:r>
        <w:rPr>
          <w:rFonts w:ascii="Times New Roman" w:hAnsi="Times New Roman" w:cs="Times New Roman"/>
          <w:i/>
          <w:iCs/>
          <w:lang w:val="en-US"/>
        </w:rPr>
        <w:t xml:space="preserve">nnotation: </w:t>
      </w:r>
      <w:r>
        <w:rPr>
          <w:rFonts w:ascii="Times New Roman" w:hAnsi="Times New Roman" w:cs="Times New Roman"/>
          <w:sz w:val="24"/>
          <w:szCs w:val="24"/>
          <w:lang w:val="en-US"/>
        </w:rPr>
        <w:t>the article deals with the issues of formation of the Institute of limitation of actions from the moment of the first mention of the concept of "limitation" in classical ancient Roman law to the formation and consolidation as a full-fledged independent civil law institution in the modern view by analyzing the provisions of normative legal acts, opinions of scientists, personal reflections, as well as by studying the essence of this institution at various stages of its development in a certain historical period.</w:t>
      </w:r>
    </w:p>
    <w:p w14:paraId="33E9D180" w14:textId="77777777" w:rsidR="001B6C3B" w:rsidRDefault="001B6C3B" w:rsidP="001B6C3B">
      <w:pPr>
        <w:pStyle w:val="a8"/>
        <w:ind w:firstLine="709"/>
        <w:jc w:val="both"/>
        <w:rPr>
          <w:rFonts w:ascii="Times New Roman" w:hAnsi="Times New Roman" w:cs="Times New Roman"/>
          <w:i/>
          <w:iCs/>
          <w:lang w:val="en-US"/>
        </w:rPr>
      </w:pPr>
      <w:r>
        <w:rPr>
          <w:rFonts w:ascii="Times New Roman" w:hAnsi="Times New Roman" w:cs="Times New Roman"/>
          <w:i/>
          <w:iCs/>
          <w:lang w:val="en-US"/>
        </w:rPr>
        <w:t xml:space="preserve">Keywords: </w:t>
      </w:r>
      <w:r>
        <w:rPr>
          <w:rFonts w:ascii="Times New Roman" w:hAnsi="Times New Roman" w:cs="Times New Roman"/>
          <w:sz w:val="24"/>
          <w:szCs w:val="24"/>
          <w:lang w:val="en-US"/>
        </w:rPr>
        <w:t xml:space="preserve">statute of limitations;  acquisition limitation;  statute of limitations;  plaintiff;  owner;  long-standing owner;  thing;  term;  claim;  right. </w:t>
      </w:r>
    </w:p>
    <w:p w14:paraId="2C16F471" w14:textId="77777777" w:rsidR="001B6C3B" w:rsidRDefault="001B6C3B" w:rsidP="001B6C3B">
      <w:pPr>
        <w:pStyle w:val="a8"/>
        <w:ind w:firstLine="709"/>
        <w:jc w:val="both"/>
        <w:rPr>
          <w:rFonts w:ascii="Times New Roman" w:hAnsi="Times New Roman" w:cs="Times New Roman"/>
          <w:iCs/>
          <w:lang w:val="en-US"/>
        </w:rPr>
      </w:pPr>
    </w:p>
    <w:p w14:paraId="07AC5DD5" w14:textId="77777777" w:rsidR="001B6C3B" w:rsidRDefault="001B6C3B" w:rsidP="001B6C3B">
      <w:pPr>
        <w:pStyle w:val="a8"/>
        <w:ind w:firstLine="709"/>
        <w:jc w:val="both"/>
        <w:rPr>
          <w:rFonts w:ascii="Times New Roman" w:hAnsi="Times New Roman" w:cs="Times New Roman"/>
          <w:iCs/>
          <w:lang w:val="en-US"/>
        </w:rPr>
      </w:pPr>
    </w:p>
    <w:p w14:paraId="7A98727E"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В отечественном и зарубежном гражданском законодательстве и науке гражданского права выделяют различные виды давности, при отсутствии самого понятия</w:t>
      </w:r>
      <w:r>
        <w:rPr>
          <w:rFonts w:ascii="Times New Roman" w:hAnsi="Times New Roman" w:cs="Times New Roman"/>
        </w:rPr>
        <w:footnoteReference w:id="26"/>
      </w:r>
      <w:r>
        <w:rPr>
          <w:rFonts w:ascii="Times New Roman" w:hAnsi="Times New Roman" w:cs="Times New Roman"/>
          <w:sz w:val="24"/>
          <w:szCs w:val="24"/>
        </w:rPr>
        <w:t xml:space="preserve"> (исковая давность, приобретательная давность). Поэтому при исследовании термина «давность» используют понятия, которые даются в словаре русского языка, в соответствии с которым под давностью принято понимать:</w:t>
      </w:r>
    </w:p>
    <w:p w14:paraId="456D3BDE"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Отдаленность по времени совершения, возникновения чего-либо;</w:t>
      </w:r>
    </w:p>
    <w:p w14:paraId="0A9E834D"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Длительное существование чего-либо…// Юр. Определенный срок…</w:t>
      </w:r>
      <w:r>
        <w:rPr>
          <w:rFonts w:ascii="Times New Roman" w:hAnsi="Times New Roman" w:cs="Times New Roman"/>
        </w:rPr>
        <w:footnoteReference w:id="27"/>
      </w:r>
    </w:p>
    <w:p w14:paraId="7E1FD7AB"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 xml:space="preserve">Сам термин «давность» известен еще древнеримским Законам 12 таблиц, датированным 451-450 гг. до н.э., а, значит, можно вполне обоснованно утверждать о том, что исковая давность берет свое начало с этого периода. Безусловно, древнеримская общая теория </w:t>
      </w:r>
      <w:r>
        <w:rPr>
          <w:rFonts w:ascii="Times New Roman" w:hAnsi="Times New Roman" w:cs="Times New Roman"/>
          <w:sz w:val="24"/>
          <w:szCs w:val="24"/>
        </w:rPr>
        <w:lastRenderedPageBreak/>
        <w:t>давности и современные представления значительно разнятся, однако все же именно Законы 12 таблиц принято считать отправной точкой законодательного закрепления института давности.</w:t>
      </w:r>
    </w:p>
    <w:p w14:paraId="26A1ABE4"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Ранее упомянутые Законы 12 таблиц закрепляли т.н. «приобретательную давность», которая предоставляла лицу право называться собственником неукраденной вещи, если он докажет факт обладания вещью и ухаживания за ней. Причем, было установлено лишь 2 срока, которые зависели от того, в отношении чего лицо (давностный владелец) претендует на право собственности:</w:t>
      </w:r>
    </w:p>
    <w:p w14:paraId="234C0B8B"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В отношении движимых вещей - 1 год;</w:t>
      </w:r>
    </w:p>
    <w:p w14:paraId="37639270"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В отношении недвижимых – 2 года.</w:t>
      </w:r>
    </w:p>
    <w:p w14:paraId="01F59C59"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В римском праве не закреплялись сроки в том представлении, в котором понимаем их мы. Более того не было абсолютно никаких сроков независимо от того, какой иск.  И лишь преторский эдикт  ввел  конкретные сроки для исков.</w:t>
      </w:r>
    </w:p>
    <w:p w14:paraId="467BA4A6"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Впоследствии институт давности подвергался дополнениям и изменениям. В частности, Кодекс Юстиниана дополнительно установил тридцатилетний срок давности, согласно которому лицо, которое владело вещью указанное время, но потеряло ее, имело право требовать от нашедшего ее выдачу</w:t>
      </w:r>
      <w:r>
        <w:rPr>
          <w:rFonts w:ascii="Times New Roman" w:hAnsi="Times New Roman" w:cs="Times New Roman"/>
        </w:rPr>
        <w:footnoteReference w:id="28"/>
      </w:r>
      <w:r>
        <w:rPr>
          <w:rFonts w:ascii="Times New Roman" w:hAnsi="Times New Roman" w:cs="Times New Roman"/>
          <w:sz w:val="24"/>
          <w:szCs w:val="24"/>
        </w:rPr>
        <w:t>.</w:t>
      </w:r>
    </w:p>
    <w:p w14:paraId="1068557E"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 xml:space="preserve">Следует также отметить, что приобретательная давность по Кодексу Юстиниана предусматривала только два срока: </w:t>
      </w:r>
    </w:p>
    <w:p w14:paraId="0DA47D72"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3 года - если стороны спорного отношения (прошлый собственник и нынешний владелец) проживают в пределах одной провинции;</w:t>
      </w:r>
    </w:p>
    <w:p w14:paraId="7A6D3A81"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10 лет – если спорят лица из разных провинций.</w:t>
      </w:r>
    </w:p>
    <w:p w14:paraId="4B6A5AA1"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 xml:space="preserve">Таким образом, мы видим, что в основе деления сроков давности лежит абсолютно чуждый современному гражданскому праву критерий – местожительство субъекта. </w:t>
      </w:r>
    </w:p>
    <w:p w14:paraId="4A239E64"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К слову, несмотря на то, что многие страны активно перенимали и адаптировали положения римского права к своим правовым системам, деление сроков давности по принципу проживания в той или иной провинции, перенят не был.</w:t>
      </w:r>
    </w:p>
    <w:p w14:paraId="53803C3E"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Несмотря на видимые некоторые корректировки, институт давности в современном российском представлении был сформирован лишь в 18 веке во времена правления Екатерины 2. Известный ученый И. Е. Энгельман справедливо отметил, что именно Манифест Екатерины 2 от 28 июня 1787 года является тем самым актом, на основе которого строилось впоследствии законодательное регулирование и цивилистическое исследование данного института.  Манифестом был установлен десятилетний срок давности как на уголовные, так и на гражданские дела, в соответствии с которым право отыскивания тем или другим образом пресекается общей 10-летней давностью: «Кто в течение этого времени иска не предъявил или, предъявив, хождения в присутственных местах не имел, тот теряет свое право». Именно с этого периода начинается активное исследование давности ведущими исследователями</w:t>
      </w:r>
      <w:r>
        <w:rPr>
          <w:rFonts w:ascii="Times New Roman" w:hAnsi="Times New Roman" w:cs="Times New Roman"/>
        </w:rPr>
        <w:footnoteReference w:id="29"/>
      </w:r>
      <w:r>
        <w:rPr>
          <w:rFonts w:ascii="Times New Roman" w:hAnsi="Times New Roman" w:cs="Times New Roman"/>
          <w:sz w:val="24"/>
          <w:szCs w:val="24"/>
        </w:rPr>
        <w:t xml:space="preserve">. </w:t>
      </w:r>
    </w:p>
    <w:p w14:paraId="7993EF29"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Следует отметить, что в Российской Империи понятие «исковая давность» законодательно не закреплялось, хотя само выражение в Гражданских законах имелось. В то время существовало понятие «земская давность», объединявшая и исковую, и приобретательную.</w:t>
      </w:r>
    </w:p>
    <w:p w14:paraId="3B4AF387"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Согласно разъяснению Гражданского кассационного департамента 1875 г. № 883 течение исковой давности начиналось с момента нарушения ответчиком права истца. Указанные нормы содержали в себе правила, по которым право прекращалось, если иск о его защите не был предъявлен в течение срока давности. При этом также терялось право обращаться к судебной защите</w:t>
      </w:r>
      <w:r>
        <w:rPr>
          <w:rFonts w:ascii="Times New Roman" w:hAnsi="Times New Roman" w:cs="Times New Roman"/>
        </w:rPr>
        <w:footnoteReference w:id="30"/>
      </w:r>
      <w:r>
        <w:rPr>
          <w:rFonts w:ascii="Times New Roman" w:hAnsi="Times New Roman" w:cs="Times New Roman"/>
          <w:sz w:val="24"/>
          <w:szCs w:val="24"/>
        </w:rPr>
        <w:t xml:space="preserve">. Также закон не допускал всякое изменение сроков давности. </w:t>
      </w:r>
      <w:r>
        <w:rPr>
          <w:rFonts w:ascii="Times New Roman" w:hAnsi="Times New Roman" w:cs="Times New Roman"/>
          <w:sz w:val="24"/>
          <w:szCs w:val="24"/>
        </w:rPr>
        <w:lastRenderedPageBreak/>
        <w:t xml:space="preserve">Цивилисты того времени высказывали предположения о том, что возможно необходимо предоставить такую возможность сторонам спора. Однако этого не произошло. </w:t>
      </w:r>
    </w:p>
    <w:p w14:paraId="456D50CB"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Хотелось бы отметить, что я считаю необоснованным стремление некоторых исследователей  установить возможность изменять сроки по соглашению, так как, по моему мнению, ограничение исковой давности как права судебной защиты должно исходить только от государственной власти.</w:t>
      </w:r>
    </w:p>
    <w:p w14:paraId="0DC151EB"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 xml:space="preserve">Вопрос о самостоятельном изменении сроков исковой давности был закрыт с принятием ГК РСФСР в 1922 году, который в ст. 44 устанавливал следующее: "... право на предъявление иска погашается по истечении трехлетнего срока, если в законе не установлен иной срок давности". Т.е. кодекс гласил о том, что сроки могут быть изменены лишь законодателем. </w:t>
      </w:r>
    </w:p>
    <w:p w14:paraId="4C705380"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Кроме того, ГК РСФСР 1922 года течение исковой давности начиналось с того времени, когда возникло право на предъявление иска, т.е. с момента нарушения права. Безусловно, еще Манифест Екатерины 2 устанавливал, что давность начинает исчисляться в тот момент, когда право лица нарушено, однако именно Гражданский кодекс 1922 года связал момент возникновения права на предъявление иска с моментом, когда право было нарушено.</w:t>
      </w:r>
    </w:p>
    <w:p w14:paraId="0C403902"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Более того, ГК РСФСР 1922 года содержал положения, согласно которым помимо установленного общего трехлетнего срока законом может быть установлен специальный срок.</w:t>
      </w:r>
    </w:p>
    <w:p w14:paraId="16D7BD99"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Однако, справедливости ради, следует сказать, что кодекс не уточнял, в каких случаях может быть установлен специальный срок и какими временными рамками он должен быть ограничен. Лишь в 1964 году с принятием ГК РСФСР был дан ответ на эти вопросы. Ст. 79 указанного кодекса предусматривала сокращенные сроки исковой давности для исков, которые связаны с обнаружением недостатков у проданной вещи</w:t>
      </w:r>
      <w:r>
        <w:rPr>
          <w:rFonts w:ascii="Times New Roman" w:hAnsi="Times New Roman" w:cs="Times New Roman"/>
        </w:rPr>
        <w:footnoteReference w:id="31"/>
      </w:r>
      <w:r>
        <w:rPr>
          <w:rFonts w:ascii="Times New Roman" w:hAnsi="Times New Roman" w:cs="Times New Roman"/>
          <w:sz w:val="24"/>
          <w:szCs w:val="24"/>
        </w:rPr>
        <w:t xml:space="preserve">. </w:t>
      </w:r>
    </w:p>
    <w:p w14:paraId="6D914F13"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К тому же, в Гражданском кодексе 1964 года было закреплено понятие исковой давности, согласно которому это срок для защиты права по иску лица, право которого было нарушено. И как мы знаем, все эти, если можно сказать, последние нововведения того времени были закреплены в ГК РФ 1994 года.</w:t>
      </w:r>
    </w:p>
    <w:p w14:paraId="7A938A74"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Итак, проанализировав развитие института исковой давности,  я могу обоснованно согласиться с известными цивилистами в том, что традиционное учение об исковой давности зародилось в советский период развития цивилистической мысли с опорой на Манифест Екатерины 2 и иные документы 18 века. К слову, упомянутое учение дошло до наших дней практически без изменений. А первое упоминание давности, безусловно, следует связывать с римским правом, которое по праву было провозглашено «всемирным правом».</w:t>
      </w:r>
    </w:p>
    <w:p w14:paraId="09337C67"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 xml:space="preserve">Также хотелось бы отметить,что институт давности – сначала приобретательной, а затем и исковой – всегда был объектом пристального внимания и исследования ученых, а также нескончаемых споров, которые продолжаются и в настоящее время. </w:t>
      </w:r>
    </w:p>
    <w:p w14:paraId="1738436D" w14:textId="77777777" w:rsidR="001B6C3B" w:rsidRDefault="001B6C3B" w:rsidP="001B6C3B">
      <w:pPr>
        <w:pStyle w:val="a8"/>
        <w:ind w:firstLine="709"/>
        <w:jc w:val="both"/>
        <w:rPr>
          <w:rFonts w:ascii="Times New Roman" w:hAnsi="Times New Roman" w:cs="Times New Roman"/>
          <w:sz w:val="24"/>
          <w:szCs w:val="24"/>
        </w:rPr>
      </w:pPr>
    </w:p>
    <w:p w14:paraId="647F756D" w14:textId="77777777" w:rsidR="001B6C3B" w:rsidRDefault="001B6C3B" w:rsidP="001B6C3B">
      <w:pPr>
        <w:spacing w:after="0" w:line="240" w:lineRule="auto"/>
        <w:ind w:firstLine="709"/>
        <w:jc w:val="both"/>
        <w:rPr>
          <w:rFonts w:ascii="Times New Roman" w:eastAsia="Times New Roman" w:hAnsi="Times New Roman" w:cs="Times New Roman"/>
          <w:bCs/>
          <w:sz w:val="24"/>
          <w:szCs w:val="24"/>
        </w:rPr>
      </w:pPr>
    </w:p>
    <w:p w14:paraId="08C8C5B8" w14:textId="77777777" w:rsidR="001B6C3B" w:rsidRDefault="001B6C3B" w:rsidP="001B6C3B">
      <w:pPr>
        <w:spacing w:after="0" w:line="240" w:lineRule="auto"/>
        <w:ind w:firstLine="709"/>
        <w:jc w:val="both"/>
        <w:rPr>
          <w:rFonts w:ascii="Times New Roman" w:eastAsia="Calibri" w:hAnsi="Times New Roman" w:cs="Times New Roman"/>
          <w:b/>
          <w:sz w:val="24"/>
          <w:szCs w:val="24"/>
        </w:rPr>
      </w:pPr>
      <w:r>
        <w:rPr>
          <w:rFonts w:ascii="Times New Roman" w:eastAsia="Calibri" w:hAnsi="Times New Roman" w:cs="Times New Roman"/>
          <w:b/>
          <w:sz w:val="24"/>
          <w:szCs w:val="24"/>
        </w:rPr>
        <w:t>Библиографический список</w:t>
      </w:r>
    </w:p>
    <w:p w14:paraId="1955E5A2" w14:textId="77777777" w:rsidR="001B6C3B" w:rsidRDefault="001B6C3B" w:rsidP="001B6C3B">
      <w:pPr>
        <w:spacing w:after="0" w:line="240" w:lineRule="auto"/>
        <w:ind w:firstLine="709"/>
        <w:jc w:val="both"/>
        <w:rPr>
          <w:rFonts w:ascii="Times New Roman" w:eastAsia="Calibri" w:hAnsi="Times New Roman" w:cs="Times New Roman"/>
          <w:b/>
          <w:sz w:val="24"/>
          <w:szCs w:val="24"/>
          <w:lang w:val="en-US"/>
        </w:rPr>
      </w:pPr>
    </w:p>
    <w:p w14:paraId="0F573DC3" w14:textId="77777777" w:rsidR="001B6C3B" w:rsidRDefault="001B6C3B" w:rsidP="00E3198A">
      <w:pPr>
        <w:pStyle w:val="a4"/>
        <w:numPr>
          <w:ilvl w:val="0"/>
          <w:numId w:val="7"/>
        </w:numPr>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 xml:space="preserve">Зеленская Л.А. </w:t>
      </w:r>
      <w:r>
        <w:rPr>
          <w:rFonts w:ascii="Times New Roman" w:hAnsi="Times New Roman" w:cs="Times New Roman"/>
          <w:sz w:val="24"/>
          <w:szCs w:val="24"/>
          <w:shd w:val="clear" w:color="auto" w:fill="FFFFFF"/>
        </w:rPr>
        <w:t>Институт приобретательной давности в гражданском праве. Краснодар. 2004. С.  165.</w:t>
      </w:r>
    </w:p>
    <w:p w14:paraId="20E92760" w14:textId="77777777" w:rsidR="001B6C3B" w:rsidRDefault="001B6C3B" w:rsidP="00E3198A">
      <w:pPr>
        <w:pStyle w:val="a4"/>
        <w:numPr>
          <w:ilvl w:val="0"/>
          <w:numId w:val="7"/>
        </w:numPr>
        <w:spacing w:after="0" w:line="240" w:lineRule="auto"/>
        <w:ind w:left="0" w:firstLine="709"/>
        <w:jc w:val="both"/>
        <w:rPr>
          <w:rFonts w:ascii="Times New Roman" w:hAnsi="Times New Roman" w:cs="Times New Roman"/>
          <w:sz w:val="24"/>
          <w:szCs w:val="24"/>
        </w:rPr>
      </w:pPr>
      <w:r>
        <w:rPr>
          <w:rFonts w:ascii="Times New Roman" w:eastAsia="Times New Roman" w:hAnsi="Times New Roman" w:cs="Times New Roman"/>
          <w:sz w:val="24"/>
          <w:szCs w:val="24"/>
        </w:rPr>
        <w:t>Синайский В.И. Русское гражданское право. Общая часть. (по изд. 1912) [Текст].- М. Статут. 2002. - С. 638.</w:t>
      </w:r>
    </w:p>
    <w:p w14:paraId="2B9856EF" w14:textId="77777777" w:rsidR="001B6C3B" w:rsidRDefault="001B6C3B" w:rsidP="00E3198A">
      <w:pPr>
        <w:pStyle w:val="a4"/>
        <w:numPr>
          <w:ilvl w:val="0"/>
          <w:numId w:val="7"/>
        </w:numPr>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Словарь русского языка. Т. 1. Изд. 3-е / Гл. ред. А.П.Евгеньева. М.: Изд. «Русский язык». 1998. С. 362.</w:t>
      </w:r>
    </w:p>
    <w:p w14:paraId="0E4BC620" w14:textId="77777777" w:rsidR="001B6C3B" w:rsidRDefault="001B6C3B" w:rsidP="00E3198A">
      <w:pPr>
        <w:pStyle w:val="a4"/>
        <w:numPr>
          <w:ilvl w:val="0"/>
          <w:numId w:val="7"/>
        </w:numPr>
        <w:spacing w:after="0" w:line="240" w:lineRule="auto"/>
        <w:ind w:left="0" w:firstLine="709"/>
        <w:jc w:val="both"/>
        <w:rPr>
          <w:rFonts w:ascii="Times New Roman" w:hAnsi="Times New Roman" w:cs="Times New Roman"/>
          <w:sz w:val="24"/>
          <w:szCs w:val="24"/>
        </w:rPr>
      </w:pPr>
      <w:r>
        <w:rPr>
          <w:rFonts w:ascii="Times New Roman" w:eastAsia="Times New Roman" w:hAnsi="Times New Roman" w:cs="Times New Roman"/>
          <w:sz w:val="24"/>
          <w:szCs w:val="24"/>
        </w:rPr>
        <w:t>Советское гражданское право [Текст]: Учебник. / Под ред. Куника Я.А., Язева В.А.- М. Юридическая литература. 1983. - С. 93.</w:t>
      </w:r>
    </w:p>
    <w:p w14:paraId="0BFC6F0D" w14:textId="77777777" w:rsidR="001B6C3B" w:rsidRDefault="001B6C3B" w:rsidP="00E3198A">
      <w:pPr>
        <w:pStyle w:val="a4"/>
        <w:numPr>
          <w:ilvl w:val="0"/>
          <w:numId w:val="7"/>
        </w:numPr>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Фаршатов И.А. Исковая давность. Законодательство: теория и практика. – М. Издательский дом Городец. 2004. С. 34.</w:t>
      </w:r>
    </w:p>
    <w:p w14:paraId="6E3D0CC1" w14:textId="77777777" w:rsidR="001B6C3B" w:rsidRDefault="001B6C3B" w:rsidP="00E3198A">
      <w:pPr>
        <w:pStyle w:val="a4"/>
        <w:numPr>
          <w:ilvl w:val="0"/>
          <w:numId w:val="7"/>
        </w:numPr>
        <w:spacing w:after="0" w:line="240" w:lineRule="auto"/>
        <w:ind w:left="0"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Шершеневич Г.Ф. Учебник русского гражданского права. Изд. 10. (по изд. 1911) [Текст] - М. Статут. 2001. - С. 19</w:t>
      </w:r>
    </w:p>
    <w:p w14:paraId="371F2972" w14:textId="77777777" w:rsidR="001B6C3B" w:rsidRDefault="001B6C3B" w:rsidP="001B6C3B">
      <w:pPr>
        <w:spacing w:after="0" w:line="240" w:lineRule="auto"/>
        <w:rPr>
          <w:rFonts w:ascii="Times New Roman" w:eastAsia="Times New Roman" w:hAnsi="Times New Roman" w:cs="Times New Roman"/>
          <w:sz w:val="24"/>
          <w:szCs w:val="24"/>
        </w:rPr>
        <w:sectPr w:rsidR="001B6C3B">
          <w:footnotePr>
            <w:numRestart w:val="eachPage"/>
          </w:footnotePr>
          <w:pgSz w:w="11906" w:h="16838"/>
          <w:pgMar w:top="1134" w:right="1134" w:bottom="1134" w:left="1134" w:header="709" w:footer="709" w:gutter="0"/>
          <w:cols w:space="720"/>
        </w:sectPr>
      </w:pPr>
    </w:p>
    <w:p w14:paraId="786DB2A4" w14:textId="77777777" w:rsidR="00D23E5C" w:rsidRPr="002E70F6" w:rsidRDefault="00D23E5C" w:rsidP="00D23E5C">
      <w:pPr>
        <w:pStyle w:val="aa"/>
        <w:spacing w:before="0" w:beforeAutospacing="0" w:after="0" w:afterAutospacing="0"/>
        <w:ind w:left="4253"/>
        <w:jc w:val="right"/>
        <w:rPr>
          <w:color w:val="000000"/>
        </w:rPr>
      </w:pPr>
      <w:r w:rsidRPr="002E70F6">
        <w:rPr>
          <w:color w:val="000000"/>
        </w:rPr>
        <w:lastRenderedPageBreak/>
        <w:t>УДК 347.22</w:t>
      </w:r>
    </w:p>
    <w:p w14:paraId="236B2D4C" w14:textId="77777777" w:rsidR="00D23E5C" w:rsidRPr="00D23E5C" w:rsidRDefault="00D23E5C" w:rsidP="00D23E5C">
      <w:pPr>
        <w:pStyle w:val="aa"/>
        <w:spacing w:before="0" w:beforeAutospacing="0" w:after="0" w:afterAutospacing="0"/>
        <w:ind w:left="4253"/>
        <w:jc w:val="both"/>
        <w:rPr>
          <w:b/>
          <w:color w:val="000000"/>
        </w:rPr>
      </w:pPr>
      <w:r w:rsidRPr="00D23E5C">
        <w:rPr>
          <w:b/>
          <w:color w:val="000000"/>
        </w:rPr>
        <w:t>Анисочкина Дарья Алексеевна</w:t>
      </w:r>
    </w:p>
    <w:p w14:paraId="61B58FDA" w14:textId="77777777" w:rsidR="00D23E5C" w:rsidRPr="00D23E5C" w:rsidRDefault="00D23E5C" w:rsidP="00D23E5C">
      <w:pPr>
        <w:pStyle w:val="aa"/>
        <w:spacing w:before="0" w:beforeAutospacing="0" w:after="0" w:afterAutospacing="0"/>
        <w:ind w:left="4253"/>
        <w:jc w:val="both"/>
        <w:rPr>
          <w:b/>
          <w:color w:val="000000"/>
        </w:rPr>
      </w:pPr>
      <w:r w:rsidRPr="00D23E5C">
        <w:rPr>
          <w:b/>
          <w:color w:val="000000"/>
        </w:rPr>
        <w:t>Anisochkina Daria Alekseevna</w:t>
      </w:r>
    </w:p>
    <w:p w14:paraId="0D5C96D5" w14:textId="77777777" w:rsidR="00D23E5C" w:rsidRPr="00D23E5C" w:rsidRDefault="00D23E5C" w:rsidP="00D23E5C">
      <w:pPr>
        <w:pStyle w:val="aa"/>
        <w:spacing w:before="0" w:beforeAutospacing="0" w:after="0" w:afterAutospacing="0"/>
        <w:ind w:left="4253"/>
        <w:jc w:val="both"/>
        <w:rPr>
          <w:color w:val="000000"/>
        </w:rPr>
      </w:pPr>
      <w:r w:rsidRPr="00D23E5C">
        <w:rPr>
          <w:color w:val="000000"/>
        </w:rPr>
        <w:t>магистрант Федеральное государственное бюджетное образовательное учреждение высшего образования «Кубанский государственный аграрный университет имени И.Т. Трубилина»</w:t>
      </w:r>
    </w:p>
    <w:p w14:paraId="34132DCA" w14:textId="77777777" w:rsidR="00D23E5C" w:rsidRPr="00D23E5C" w:rsidRDefault="00D23E5C" w:rsidP="00D23E5C">
      <w:pPr>
        <w:pStyle w:val="aa"/>
        <w:spacing w:before="0" w:beforeAutospacing="0" w:after="0" w:afterAutospacing="0"/>
        <w:ind w:left="4253"/>
        <w:jc w:val="both"/>
        <w:rPr>
          <w:color w:val="000000"/>
          <w:lang w:val="en-US"/>
        </w:rPr>
      </w:pPr>
      <w:r w:rsidRPr="00D23E5C">
        <w:rPr>
          <w:color w:val="000000"/>
          <w:lang w:val="en-US"/>
        </w:rPr>
        <w:t>Federal State Budgetary Educational Institution of Higher Education“Kuban State Agrarian University named after I.T. Trubilin”</w:t>
      </w:r>
    </w:p>
    <w:p w14:paraId="5ED07200" w14:textId="77777777" w:rsidR="00D23E5C" w:rsidRPr="00D23E5C" w:rsidRDefault="00D23E5C" w:rsidP="00D23E5C">
      <w:pPr>
        <w:pStyle w:val="aa"/>
        <w:spacing w:before="0" w:beforeAutospacing="0" w:after="0" w:afterAutospacing="0"/>
        <w:ind w:left="4253"/>
        <w:jc w:val="both"/>
        <w:rPr>
          <w:color w:val="000000"/>
        </w:rPr>
      </w:pPr>
      <w:r w:rsidRPr="00D23E5C">
        <w:rPr>
          <w:color w:val="000000"/>
        </w:rPr>
        <w:t>Российская Федерация, г. Краснодар</w:t>
      </w:r>
    </w:p>
    <w:p w14:paraId="7DB25F1C" w14:textId="77777777" w:rsidR="00D23E5C" w:rsidRPr="00D23E5C" w:rsidRDefault="00D23E5C" w:rsidP="00D23E5C">
      <w:pPr>
        <w:pStyle w:val="aa"/>
        <w:spacing w:before="0" w:beforeAutospacing="0" w:after="0" w:afterAutospacing="0"/>
        <w:ind w:left="4253"/>
        <w:jc w:val="both"/>
        <w:rPr>
          <w:color w:val="000000"/>
        </w:rPr>
      </w:pPr>
      <w:r w:rsidRPr="00D23E5C">
        <w:rPr>
          <w:color w:val="000000"/>
        </w:rPr>
        <w:t>Russian Federation, Krasnodar</w:t>
      </w:r>
    </w:p>
    <w:p w14:paraId="3EF7B1B4" w14:textId="77777777" w:rsidR="00D23E5C" w:rsidRPr="00D23E5C" w:rsidRDefault="00EE7838" w:rsidP="00D23E5C">
      <w:pPr>
        <w:pStyle w:val="aa"/>
        <w:spacing w:before="0" w:beforeAutospacing="0" w:after="0" w:afterAutospacing="0"/>
        <w:ind w:left="4253"/>
        <w:jc w:val="both"/>
        <w:rPr>
          <w:rStyle w:val="a9"/>
        </w:rPr>
      </w:pPr>
      <w:hyperlink r:id="rId14" w:history="1">
        <w:r w:rsidR="00D23E5C" w:rsidRPr="00D23E5C">
          <w:rPr>
            <w:rStyle w:val="a9"/>
            <w:lang w:val="en-US"/>
          </w:rPr>
          <w:t>darina</w:t>
        </w:r>
        <w:r w:rsidR="00D23E5C" w:rsidRPr="00D23E5C">
          <w:rPr>
            <w:rStyle w:val="a9"/>
          </w:rPr>
          <w:t>-</w:t>
        </w:r>
        <w:r w:rsidR="00D23E5C" w:rsidRPr="00D23E5C">
          <w:rPr>
            <w:rStyle w:val="a9"/>
            <w:lang w:val="en-US"/>
          </w:rPr>
          <w:t>t</w:t>
        </w:r>
        <w:r w:rsidR="00D23E5C" w:rsidRPr="00D23E5C">
          <w:rPr>
            <w:rStyle w:val="a9"/>
          </w:rPr>
          <w:t>9@</w:t>
        </w:r>
        <w:r w:rsidR="00D23E5C" w:rsidRPr="00D23E5C">
          <w:rPr>
            <w:rStyle w:val="a9"/>
            <w:lang w:val="en-US"/>
          </w:rPr>
          <w:t>mail</w:t>
        </w:r>
        <w:r w:rsidR="00D23E5C" w:rsidRPr="00D23E5C">
          <w:rPr>
            <w:rStyle w:val="a9"/>
          </w:rPr>
          <w:t>.</w:t>
        </w:r>
        <w:r w:rsidR="00D23E5C" w:rsidRPr="00D23E5C">
          <w:rPr>
            <w:rStyle w:val="a9"/>
            <w:lang w:val="en-US"/>
          </w:rPr>
          <w:t>ru</w:t>
        </w:r>
      </w:hyperlink>
    </w:p>
    <w:p w14:paraId="3F691C09" w14:textId="77777777" w:rsidR="00D23E5C" w:rsidRPr="00D23E5C" w:rsidRDefault="00D23E5C" w:rsidP="00D23E5C">
      <w:pPr>
        <w:pStyle w:val="aa"/>
        <w:spacing w:before="0" w:beforeAutospacing="0" w:after="0" w:afterAutospacing="0"/>
        <w:ind w:left="4253"/>
        <w:jc w:val="both"/>
        <w:rPr>
          <w:color w:val="000000"/>
        </w:rPr>
      </w:pPr>
      <w:r w:rsidRPr="00D23E5C">
        <w:rPr>
          <w:color w:val="000000"/>
        </w:rPr>
        <w:t xml:space="preserve">Научный руководитель: </w:t>
      </w:r>
    </w:p>
    <w:p w14:paraId="3E655059" w14:textId="77777777" w:rsidR="00D23E5C" w:rsidRPr="00D23E5C" w:rsidRDefault="00D23E5C" w:rsidP="00D23E5C">
      <w:pPr>
        <w:pStyle w:val="aa"/>
        <w:spacing w:before="0" w:beforeAutospacing="0" w:after="0" w:afterAutospacing="0"/>
        <w:ind w:left="4253"/>
        <w:jc w:val="both"/>
        <w:rPr>
          <w:color w:val="000000"/>
        </w:rPr>
      </w:pPr>
      <w:r w:rsidRPr="00D23E5C">
        <w:rPr>
          <w:b/>
          <w:color w:val="000000"/>
        </w:rPr>
        <w:t>Камышанский Владимир Павлович</w:t>
      </w:r>
      <w:r w:rsidRPr="00D23E5C">
        <w:rPr>
          <w:color w:val="000000"/>
        </w:rPr>
        <w:t>- доктор юридических наук, профессор, Федеральное государственное бюджетное образовательное учреждение высшего образования «Кубанский государственный аграрный университет имени И.Т. Трубилина».</w:t>
      </w:r>
    </w:p>
    <w:p w14:paraId="4FC84052" w14:textId="77777777" w:rsidR="00D23E5C" w:rsidRPr="00D23E5C" w:rsidRDefault="00D23E5C" w:rsidP="00D23E5C">
      <w:pPr>
        <w:pStyle w:val="aa"/>
        <w:spacing w:before="0" w:beforeAutospacing="0" w:after="0" w:afterAutospacing="0"/>
        <w:ind w:left="3119"/>
        <w:rPr>
          <w:color w:val="000000"/>
        </w:rPr>
      </w:pPr>
    </w:p>
    <w:p w14:paraId="50586966" w14:textId="77777777" w:rsidR="00D23E5C" w:rsidRPr="00D23E5C" w:rsidRDefault="00D23E5C" w:rsidP="00D23E5C">
      <w:pPr>
        <w:spacing w:line="240" w:lineRule="auto"/>
        <w:jc w:val="center"/>
        <w:rPr>
          <w:rFonts w:ascii="Times New Roman" w:hAnsi="Times New Roman" w:cs="Times New Roman"/>
          <w:b/>
          <w:sz w:val="24"/>
          <w:szCs w:val="24"/>
        </w:rPr>
      </w:pPr>
      <w:r w:rsidRPr="00D23E5C">
        <w:rPr>
          <w:rFonts w:ascii="Times New Roman" w:hAnsi="Times New Roman" w:cs="Times New Roman"/>
          <w:b/>
          <w:sz w:val="24"/>
          <w:szCs w:val="24"/>
        </w:rPr>
        <w:t>О сущности категории «соседское право»</w:t>
      </w:r>
    </w:p>
    <w:p w14:paraId="6AD03F33" w14:textId="77777777" w:rsidR="00D23E5C" w:rsidRPr="00D23E5C" w:rsidRDefault="00D23E5C" w:rsidP="00D23E5C">
      <w:pPr>
        <w:spacing w:line="240" w:lineRule="auto"/>
        <w:jc w:val="center"/>
        <w:rPr>
          <w:rFonts w:ascii="Times New Roman" w:hAnsi="Times New Roman" w:cs="Times New Roman"/>
          <w:b/>
          <w:color w:val="000000" w:themeColor="text1"/>
          <w:sz w:val="24"/>
          <w:szCs w:val="24"/>
          <w:lang w:val="en-US"/>
        </w:rPr>
      </w:pPr>
      <w:r w:rsidRPr="00D23E5C">
        <w:rPr>
          <w:rFonts w:ascii="Times New Roman" w:hAnsi="Times New Roman" w:cs="Times New Roman"/>
          <w:b/>
          <w:color w:val="000000" w:themeColor="text1"/>
          <w:sz w:val="24"/>
          <w:szCs w:val="24"/>
          <w:lang w:val="en-US"/>
        </w:rPr>
        <w:t>About the essence of the category “neighborly law”</w:t>
      </w:r>
    </w:p>
    <w:p w14:paraId="52157CDD" w14:textId="77777777" w:rsidR="00D23E5C" w:rsidRPr="00D23E5C" w:rsidRDefault="00D23E5C" w:rsidP="00D23E5C">
      <w:pPr>
        <w:spacing w:line="240" w:lineRule="auto"/>
        <w:jc w:val="center"/>
        <w:rPr>
          <w:rFonts w:ascii="Times New Roman" w:hAnsi="Times New Roman" w:cs="Times New Roman"/>
          <w:b/>
          <w:color w:val="000000" w:themeColor="text1"/>
          <w:sz w:val="24"/>
          <w:szCs w:val="24"/>
          <w:lang w:val="en-US"/>
        </w:rPr>
      </w:pPr>
    </w:p>
    <w:p w14:paraId="1D641583" w14:textId="77777777" w:rsidR="00D23E5C" w:rsidRPr="00D23E5C" w:rsidRDefault="00D23E5C" w:rsidP="00D23E5C">
      <w:pPr>
        <w:spacing w:line="240" w:lineRule="auto"/>
        <w:ind w:firstLine="708"/>
        <w:jc w:val="both"/>
        <w:rPr>
          <w:rFonts w:ascii="Times New Roman" w:hAnsi="Times New Roman" w:cs="Times New Roman"/>
          <w:sz w:val="24"/>
          <w:szCs w:val="24"/>
        </w:rPr>
      </w:pPr>
      <w:r w:rsidRPr="00D23E5C">
        <w:rPr>
          <w:rFonts w:ascii="Times New Roman" w:hAnsi="Times New Roman" w:cs="Times New Roman"/>
          <w:i/>
          <w:sz w:val="24"/>
          <w:szCs w:val="24"/>
        </w:rPr>
        <w:t>Аннотация:</w:t>
      </w:r>
      <w:r w:rsidRPr="00D23E5C">
        <w:rPr>
          <w:rFonts w:ascii="Times New Roman" w:hAnsi="Times New Roman" w:cs="Times New Roman"/>
          <w:b/>
          <w:sz w:val="24"/>
          <w:szCs w:val="24"/>
        </w:rPr>
        <w:t xml:space="preserve"> </w:t>
      </w:r>
      <w:r w:rsidRPr="00D23E5C">
        <w:rPr>
          <w:rFonts w:ascii="Times New Roman" w:hAnsi="Times New Roman" w:cs="Times New Roman"/>
          <w:sz w:val="24"/>
          <w:szCs w:val="24"/>
        </w:rPr>
        <w:t>В статье рассмотрен вопрос актуальности правового регулирования «соседских отношений». Раскрываются некоторые аспекты содержания термина «соседское право», предложено</w:t>
      </w:r>
      <w:r w:rsidRPr="00D23E5C">
        <w:rPr>
          <w:rFonts w:ascii="Times New Roman" w:hAnsi="Times New Roman" w:cs="Times New Roman"/>
          <w:b/>
          <w:sz w:val="24"/>
          <w:szCs w:val="24"/>
        </w:rPr>
        <w:t xml:space="preserve"> </w:t>
      </w:r>
      <w:r w:rsidRPr="00D23E5C">
        <w:rPr>
          <w:rFonts w:ascii="Times New Roman" w:hAnsi="Times New Roman" w:cs="Times New Roman"/>
          <w:sz w:val="24"/>
          <w:szCs w:val="24"/>
        </w:rPr>
        <w:t>авторское определение указанной правовой категории. Автором соотносится сущность категории «соседское право» в Германском, Швейцарском и праве Российской Федерации. Анализируется возможность ограничения права собственности «соседским правом», а также пределы осуществления права собственности соседа.</w:t>
      </w:r>
    </w:p>
    <w:p w14:paraId="2399F34C" w14:textId="77777777" w:rsidR="00D23E5C" w:rsidRPr="00D23E5C" w:rsidRDefault="00D23E5C" w:rsidP="00D23E5C">
      <w:pPr>
        <w:spacing w:line="240" w:lineRule="auto"/>
        <w:ind w:firstLine="708"/>
        <w:jc w:val="both"/>
        <w:rPr>
          <w:rFonts w:ascii="Times New Roman" w:hAnsi="Times New Roman" w:cs="Times New Roman"/>
          <w:sz w:val="24"/>
          <w:szCs w:val="24"/>
        </w:rPr>
      </w:pPr>
      <w:r w:rsidRPr="00D23E5C">
        <w:rPr>
          <w:rFonts w:ascii="Times New Roman" w:hAnsi="Times New Roman" w:cs="Times New Roman"/>
          <w:i/>
          <w:sz w:val="24"/>
          <w:szCs w:val="24"/>
        </w:rPr>
        <w:t>Ключевые слова:</w:t>
      </w:r>
      <w:r w:rsidRPr="00D23E5C">
        <w:rPr>
          <w:rFonts w:ascii="Times New Roman" w:hAnsi="Times New Roman" w:cs="Times New Roman"/>
          <w:sz w:val="24"/>
          <w:szCs w:val="24"/>
        </w:rPr>
        <w:t xml:space="preserve"> соседское право; собственник; сосед;</w:t>
      </w:r>
      <w:r w:rsidRPr="00D23E5C">
        <w:rPr>
          <w:sz w:val="24"/>
          <w:szCs w:val="24"/>
        </w:rPr>
        <w:t xml:space="preserve"> </w:t>
      </w:r>
      <w:r w:rsidRPr="00D23E5C">
        <w:rPr>
          <w:rFonts w:ascii="Times New Roman" w:hAnsi="Times New Roman" w:cs="Times New Roman"/>
          <w:sz w:val="24"/>
          <w:szCs w:val="24"/>
        </w:rPr>
        <w:t>право собственности; ограничение права собственности; правоотношение; негаторный иск; соседские правоотношения.</w:t>
      </w:r>
    </w:p>
    <w:p w14:paraId="641760A1" w14:textId="77777777" w:rsidR="00D23E5C" w:rsidRPr="00D23E5C" w:rsidRDefault="00D23E5C" w:rsidP="00D23E5C">
      <w:pPr>
        <w:spacing w:line="240" w:lineRule="auto"/>
        <w:ind w:firstLine="708"/>
        <w:jc w:val="both"/>
        <w:rPr>
          <w:rFonts w:ascii="Times New Roman" w:hAnsi="Times New Roman" w:cs="Times New Roman"/>
          <w:sz w:val="24"/>
          <w:szCs w:val="24"/>
          <w:lang w:val="en-US"/>
        </w:rPr>
      </w:pPr>
      <w:r w:rsidRPr="00D23E5C">
        <w:rPr>
          <w:rFonts w:ascii="Times New Roman" w:hAnsi="Times New Roman" w:cs="Times New Roman"/>
          <w:i/>
          <w:sz w:val="24"/>
          <w:szCs w:val="24"/>
          <w:lang w:val="en-US"/>
        </w:rPr>
        <w:t>Annotation:</w:t>
      </w:r>
      <w:r w:rsidRPr="00D23E5C">
        <w:rPr>
          <w:rFonts w:ascii="Times New Roman" w:hAnsi="Times New Roman" w:cs="Times New Roman"/>
          <w:sz w:val="24"/>
          <w:szCs w:val="24"/>
          <w:lang w:val="en-US"/>
        </w:rPr>
        <w:t xml:space="preserve"> The article considers the relevance of the legal regulation of "neighborly relations." Some aspects of the content of the term “neighborly law” are revealed, the author’s definition of the indicated legal category is proposed. The author correlates the essence of the category of "neighborly law" in German, Swiss and the law of the Russian Federation. The author analyzes the possibility of restricting ownership rights by “neighboring law”, as well as the limits of the exercise of law.</w:t>
      </w:r>
    </w:p>
    <w:p w14:paraId="6FE2FF44" w14:textId="77777777" w:rsidR="00D23E5C" w:rsidRPr="00D23E5C" w:rsidRDefault="00D23E5C" w:rsidP="00D23E5C">
      <w:pPr>
        <w:spacing w:line="240" w:lineRule="auto"/>
        <w:ind w:firstLine="567"/>
        <w:jc w:val="both"/>
        <w:rPr>
          <w:rFonts w:ascii="Times New Roman" w:hAnsi="Times New Roman" w:cs="Times New Roman"/>
          <w:sz w:val="24"/>
          <w:szCs w:val="24"/>
          <w:lang w:val="en-US"/>
        </w:rPr>
      </w:pPr>
      <w:r w:rsidRPr="00D23E5C">
        <w:rPr>
          <w:rFonts w:ascii="Times New Roman" w:hAnsi="Times New Roman" w:cs="Times New Roman"/>
          <w:i/>
          <w:sz w:val="24"/>
          <w:szCs w:val="24"/>
          <w:lang w:val="en-US"/>
        </w:rPr>
        <w:t>Keywords:</w:t>
      </w:r>
      <w:r w:rsidRPr="00D23E5C">
        <w:rPr>
          <w:rFonts w:ascii="Times New Roman" w:hAnsi="Times New Roman" w:cs="Times New Roman"/>
          <w:b/>
          <w:sz w:val="24"/>
          <w:szCs w:val="24"/>
          <w:lang w:val="en-US"/>
        </w:rPr>
        <w:t xml:space="preserve"> </w:t>
      </w:r>
      <w:r w:rsidRPr="00D23E5C">
        <w:rPr>
          <w:rFonts w:ascii="Times New Roman" w:hAnsi="Times New Roman" w:cs="Times New Roman"/>
          <w:sz w:val="24"/>
          <w:szCs w:val="24"/>
          <w:lang w:val="en-US"/>
        </w:rPr>
        <w:t>neighborhood law; owner; neighbor; property rights; restriction of ownership; legal relationship; negative claim; neighbor relations.</w:t>
      </w:r>
    </w:p>
    <w:p w14:paraId="7267BA6D" w14:textId="77777777" w:rsidR="00D23E5C" w:rsidRPr="00D23E5C" w:rsidRDefault="00D23E5C" w:rsidP="00D23E5C">
      <w:pPr>
        <w:spacing w:line="240" w:lineRule="auto"/>
        <w:ind w:firstLine="567"/>
        <w:jc w:val="both"/>
        <w:rPr>
          <w:rFonts w:ascii="Times New Roman" w:hAnsi="Times New Roman" w:cs="Times New Roman"/>
          <w:sz w:val="24"/>
          <w:szCs w:val="24"/>
        </w:rPr>
      </w:pPr>
      <w:r w:rsidRPr="00D23E5C">
        <w:rPr>
          <w:rFonts w:ascii="Times New Roman" w:hAnsi="Times New Roman" w:cs="Times New Roman"/>
          <w:sz w:val="24"/>
          <w:szCs w:val="24"/>
        </w:rPr>
        <w:t xml:space="preserve">«Соседское право» как правовая категория известно цивилистам со времен Римской империи, чему способствовала объективно существующая необходимость урегулирования взаимоотношений лиц, проживающих по соседству. В тоже время, для права Российской Федерации данный термин в ключе законодательного закрепления достаточно нов. </w:t>
      </w:r>
    </w:p>
    <w:p w14:paraId="1067E901" w14:textId="77777777" w:rsidR="00D23E5C" w:rsidRPr="00D23E5C" w:rsidRDefault="00D23E5C" w:rsidP="00D23E5C">
      <w:pPr>
        <w:spacing w:after="0" w:line="240" w:lineRule="auto"/>
        <w:ind w:firstLine="567"/>
        <w:jc w:val="both"/>
        <w:rPr>
          <w:rFonts w:ascii="Times New Roman" w:hAnsi="Times New Roman" w:cs="Times New Roman"/>
          <w:sz w:val="24"/>
          <w:szCs w:val="24"/>
        </w:rPr>
      </w:pPr>
      <w:r w:rsidRPr="00D23E5C">
        <w:rPr>
          <w:rFonts w:ascii="Times New Roman" w:hAnsi="Times New Roman" w:cs="Times New Roman"/>
          <w:sz w:val="24"/>
          <w:szCs w:val="24"/>
        </w:rPr>
        <w:t xml:space="preserve">Еще советские цивилисты поднимали вопрос о необходимости урегулирования взаимоотношений, возникающих между соседями путем закрепления указанных норм в гражданском законодательстве, указывая на актуальность на современном этапе </w:t>
      </w:r>
      <w:r w:rsidRPr="00D23E5C">
        <w:rPr>
          <w:rFonts w:ascii="Times New Roman" w:hAnsi="Times New Roman" w:cs="Times New Roman"/>
          <w:sz w:val="24"/>
          <w:szCs w:val="24"/>
        </w:rPr>
        <w:lastRenderedPageBreak/>
        <w:t>урегулирования указанного пласта правоотношений путем не только императивных норм, содержащихся в нормах природоохранного, административного и др. отраслей законодательства, но и посредством диспозитивного метода.</w:t>
      </w:r>
    </w:p>
    <w:p w14:paraId="7D627326" w14:textId="77777777" w:rsidR="00D23E5C" w:rsidRPr="00D23E5C" w:rsidRDefault="00D23E5C" w:rsidP="00D23E5C">
      <w:pPr>
        <w:spacing w:after="0" w:line="240" w:lineRule="auto"/>
        <w:ind w:firstLine="567"/>
        <w:jc w:val="both"/>
        <w:rPr>
          <w:rFonts w:ascii="Times New Roman" w:hAnsi="Times New Roman" w:cs="Times New Roman"/>
          <w:sz w:val="24"/>
          <w:szCs w:val="24"/>
        </w:rPr>
      </w:pPr>
      <w:r w:rsidRPr="00D23E5C">
        <w:rPr>
          <w:rFonts w:ascii="Times New Roman" w:hAnsi="Times New Roman" w:cs="Times New Roman"/>
          <w:sz w:val="24"/>
          <w:szCs w:val="24"/>
        </w:rPr>
        <w:t xml:space="preserve">В последнее время законодатель существенно продвинулся в вопросах правового регулирования соседских отношений во многом опираясь на нормы, закрепленные в правовых актах иных государств. </w:t>
      </w:r>
    </w:p>
    <w:p w14:paraId="44E863F4" w14:textId="77777777" w:rsidR="00D23E5C" w:rsidRPr="00D23E5C" w:rsidRDefault="00D23E5C" w:rsidP="00D23E5C">
      <w:pPr>
        <w:spacing w:after="0" w:line="240" w:lineRule="auto"/>
        <w:ind w:firstLine="567"/>
        <w:jc w:val="both"/>
        <w:rPr>
          <w:rFonts w:ascii="Times New Roman" w:hAnsi="Times New Roman" w:cs="Times New Roman"/>
          <w:sz w:val="24"/>
          <w:szCs w:val="24"/>
        </w:rPr>
      </w:pPr>
      <w:r w:rsidRPr="00D23E5C">
        <w:rPr>
          <w:rFonts w:ascii="Times New Roman" w:hAnsi="Times New Roman" w:cs="Times New Roman"/>
          <w:sz w:val="24"/>
          <w:szCs w:val="24"/>
        </w:rPr>
        <w:t xml:space="preserve">Существенный вклад, на наш взгляд, в анализ зарубежного законодательства внесен И.А. Емелькиной. В своих трудах она обращается к Германскому гражданскому уложению, Швейцарскому гражданскому кодексу. Глубокое изучение указанных нормативных актов позволяет сделать вывод об обширном правовом регулировании «соседских отношений» в соответствующих государствах. </w:t>
      </w:r>
      <w:r w:rsidRPr="00D23E5C">
        <w:rPr>
          <w:rFonts w:ascii="Times New Roman" w:eastAsia="Times New Roman" w:hAnsi="Times New Roman" w:cs="Times New Roman"/>
          <w:color w:val="000000"/>
          <w:sz w:val="24"/>
          <w:szCs w:val="24"/>
          <w:lang w:eastAsia="ru-RU"/>
        </w:rPr>
        <w:t>При этом, анализируя вышеназванные кодексы, И.А. Емелькина отмечает, что соседские права, включают не только обязанности собственника терпеть определённое воздействие с соседнего участка, но и возможные права соседа в отношении смежного участка, также имеются нормы, предусматривающие по соглашению собственников урегулирование соседских конфликтов.</w:t>
      </w:r>
    </w:p>
    <w:p w14:paraId="224F57E4" w14:textId="77777777" w:rsidR="00D23E5C" w:rsidRPr="00D23E5C" w:rsidRDefault="00D23E5C" w:rsidP="00D23E5C">
      <w:pPr>
        <w:spacing w:after="0" w:line="240" w:lineRule="auto"/>
        <w:ind w:firstLine="567"/>
        <w:jc w:val="both"/>
        <w:rPr>
          <w:rFonts w:ascii="Times New Roman" w:hAnsi="Times New Roman" w:cs="Times New Roman"/>
          <w:sz w:val="24"/>
          <w:szCs w:val="24"/>
        </w:rPr>
      </w:pPr>
      <w:r w:rsidRPr="00D23E5C">
        <w:rPr>
          <w:rFonts w:ascii="Times New Roman" w:hAnsi="Times New Roman" w:cs="Times New Roman"/>
          <w:sz w:val="24"/>
          <w:szCs w:val="24"/>
        </w:rPr>
        <w:t>Полагаем, что законопроект, аккумулирующий совокупность норм, регулирующих отношения между соседями, в целом образующих так называемое «соседское право» в Российской Федерации подготовлен с использованием опыта зарубежных стран, в частности, государств континентальной Европы.</w:t>
      </w:r>
    </w:p>
    <w:p w14:paraId="58EB8DE8" w14:textId="77777777" w:rsidR="00D23E5C" w:rsidRPr="00D23E5C" w:rsidRDefault="00D23E5C" w:rsidP="00D23E5C">
      <w:pPr>
        <w:spacing w:after="0" w:line="240" w:lineRule="auto"/>
        <w:ind w:firstLine="567"/>
        <w:jc w:val="both"/>
        <w:rPr>
          <w:rFonts w:ascii="Times New Roman" w:hAnsi="Times New Roman" w:cs="Times New Roman"/>
          <w:sz w:val="24"/>
          <w:szCs w:val="24"/>
        </w:rPr>
      </w:pPr>
      <w:r w:rsidRPr="00D23E5C">
        <w:rPr>
          <w:rFonts w:ascii="Times New Roman" w:hAnsi="Times New Roman" w:cs="Times New Roman"/>
          <w:sz w:val="24"/>
          <w:szCs w:val="24"/>
        </w:rPr>
        <w:t xml:space="preserve">При этом, обращаясь к вопросу о сущности соседского права, правоведы указывают, что его следует рассматривать в узком и в широком смыслах.  </w:t>
      </w:r>
    </w:p>
    <w:p w14:paraId="5FAFF371" w14:textId="77777777" w:rsidR="00D23E5C" w:rsidRPr="00D23E5C" w:rsidRDefault="00D23E5C" w:rsidP="00D23E5C">
      <w:pPr>
        <w:spacing w:after="0" w:line="240" w:lineRule="auto"/>
        <w:ind w:firstLine="567"/>
        <w:jc w:val="both"/>
        <w:rPr>
          <w:rFonts w:ascii="Times New Roman" w:hAnsi="Times New Roman" w:cs="Times New Roman"/>
          <w:sz w:val="24"/>
          <w:szCs w:val="24"/>
        </w:rPr>
      </w:pPr>
      <w:r w:rsidRPr="00D23E5C">
        <w:rPr>
          <w:rFonts w:ascii="Times New Roman" w:hAnsi="Times New Roman" w:cs="Times New Roman"/>
          <w:sz w:val="24"/>
          <w:szCs w:val="24"/>
        </w:rPr>
        <w:t>В узком смысле соседское право определено ст. 293 законопроекта</w:t>
      </w:r>
      <w:r w:rsidRPr="00D23E5C">
        <w:rPr>
          <w:rStyle w:val="a7"/>
          <w:rFonts w:ascii="Times New Roman" w:hAnsi="Times New Roman" w:cs="Times New Roman"/>
          <w:sz w:val="24"/>
          <w:szCs w:val="24"/>
        </w:rPr>
        <w:footnoteReference w:id="32"/>
      </w:r>
      <w:r w:rsidRPr="00D23E5C">
        <w:rPr>
          <w:rFonts w:ascii="Times New Roman" w:hAnsi="Times New Roman" w:cs="Times New Roman"/>
          <w:sz w:val="24"/>
          <w:szCs w:val="24"/>
        </w:rPr>
        <w:t>, размещенного на официальном сайте Комитета Государственной Думы ФС РФ по гражданскому, уголовному, арбитражному и процессуальному законодательству, в соответствии с которой собственник земельного участка должен претерпевать воздействие исходящих с соседнего земельного участка газов, паров, запахов, дыма, копоти, тепла, шумов, вибрации и иное подобное воздействие, если оно не оказывает влияния на использование его земельного участка или оказывает на его использование такое влияние, которое не превышает установленных нормативов, разумных пределов, исходя из природы и местоположения земельных участков или из обычая. Соответственно узкий смысл данного термина определяется через ограничения права собственности в интересах соседа и сходит из наличия трех видов воздействий:</w:t>
      </w:r>
    </w:p>
    <w:p w14:paraId="7C1B210C" w14:textId="77777777" w:rsidR="00D23E5C" w:rsidRPr="00D23E5C" w:rsidRDefault="00D23E5C" w:rsidP="00D23E5C">
      <w:pPr>
        <w:spacing w:after="0" w:line="240" w:lineRule="auto"/>
        <w:ind w:firstLine="567"/>
        <w:jc w:val="both"/>
        <w:rPr>
          <w:rFonts w:ascii="Times New Roman" w:hAnsi="Times New Roman" w:cs="Times New Roman"/>
          <w:sz w:val="24"/>
          <w:szCs w:val="24"/>
        </w:rPr>
      </w:pPr>
      <w:r w:rsidRPr="00D23E5C">
        <w:rPr>
          <w:rFonts w:ascii="Times New Roman" w:hAnsi="Times New Roman" w:cs="Times New Roman"/>
          <w:sz w:val="24"/>
          <w:szCs w:val="24"/>
        </w:rPr>
        <w:t>- если воздействие не оказывает влияния на соседний участок;</w:t>
      </w:r>
    </w:p>
    <w:p w14:paraId="37CFB1E3" w14:textId="77777777" w:rsidR="00D23E5C" w:rsidRPr="00D23E5C" w:rsidRDefault="00D23E5C" w:rsidP="00D23E5C">
      <w:pPr>
        <w:spacing w:after="0" w:line="240" w:lineRule="auto"/>
        <w:ind w:firstLine="567"/>
        <w:jc w:val="both"/>
        <w:rPr>
          <w:rFonts w:ascii="Times New Roman" w:hAnsi="Times New Roman" w:cs="Times New Roman"/>
          <w:sz w:val="24"/>
          <w:szCs w:val="24"/>
        </w:rPr>
      </w:pPr>
      <w:r w:rsidRPr="00D23E5C">
        <w:rPr>
          <w:rFonts w:ascii="Times New Roman" w:hAnsi="Times New Roman" w:cs="Times New Roman"/>
          <w:sz w:val="24"/>
          <w:szCs w:val="24"/>
        </w:rPr>
        <w:t>-если оно не оказывает влияния на использование его земельного участка или оказывает на его использование такое влияние, которое не превышает установленных нормативов, разумных пределов, исходя из природы и местоположения земельных участков или из обычая;</w:t>
      </w:r>
    </w:p>
    <w:p w14:paraId="35E813ED" w14:textId="77777777" w:rsidR="00D23E5C" w:rsidRPr="00D23E5C" w:rsidRDefault="00D23E5C" w:rsidP="00D23E5C">
      <w:pPr>
        <w:spacing w:after="0" w:line="240" w:lineRule="auto"/>
        <w:ind w:firstLine="567"/>
        <w:jc w:val="both"/>
        <w:rPr>
          <w:rFonts w:ascii="Times New Roman" w:hAnsi="Times New Roman" w:cs="Times New Roman"/>
          <w:sz w:val="24"/>
          <w:szCs w:val="24"/>
        </w:rPr>
      </w:pPr>
      <w:r w:rsidRPr="00D23E5C">
        <w:rPr>
          <w:rFonts w:ascii="Times New Roman" w:hAnsi="Times New Roman" w:cs="Times New Roman"/>
          <w:sz w:val="24"/>
          <w:szCs w:val="24"/>
        </w:rPr>
        <w:t>-если оно оказывает подобное влияние.</w:t>
      </w:r>
    </w:p>
    <w:p w14:paraId="2351495C" w14:textId="77777777" w:rsidR="00D23E5C" w:rsidRPr="00D23E5C" w:rsidRDefault="00D23E5C" w:rsidP="00D23E5C">
      <w:pPr>
        <w:spacing w:after="0" w:line="240" w:lineRule="auto"/>
        <w:ind w:firstLine="567"/>
        <w:jc w:val="both"/>
        <w:rPr>
          <w:rFonts w:ascii="Times New Roman" w:hAnsi="Times New Roman" w:cs="Times New Roman"/>
          <w:sz w:val="24"/>
          <w:szCs w:val="24"/>
        </w:rPr>
      </w:pPr>
      <w:r w:rsidRPr="00D23E5C">
        <w:rPr>
          <w:rFonts w:ascii="Times New Roman" w:hAnsi="Times New Roman" w:cs="Times New Roman"/>
          <w:sz w:val="24"/>
          <w:szCs w:val="24"/>
        </w:rPr>
        <w:t>В последнем случае собственник, права которого нарушаются имеет право предъявить к соседу негаторный иск.</w:t>
      </w:r>
    </w:p>
    <w:p w14:paraId="0078153C" w14:textId="77777777" w:rsidR="00D23E5C" w:rsidRPr="00D23E5C" w:rsidRDefault="00D23E5C" w:rsidP="00D23E5C">
      <w:pPr>
        <w:spacing w:after="0" w:line="240" w:lineRule="auto"/>
        <w:ind w:firstLine="567"/>
        <w:jc w:val="both"/>
        <w:rPr>
          <w:rFonts w:ascii="Times New Roman" w:hAnsi="Times New Roman" w:cs="Times New Roman"/>
          <w:sz w:val="24"/>
          <w:szCs w:val="24"/>
        </w:rPr>
      </w:pPr>
      <w:r w:rsidRPr="00D23E5C">
        <w:rPr>
          <w:rFonts w:ascii="Times New Roman" w:hAnsi="Times New Roman" w:cs="Times New Roman"/>
          <w:sz w:val="24"/>
          <w:szCs w:val="24"/>
        </w:rPr>
        <w:t>В широком смысле соседское право следует понимать как совокупность гражданско-правовых норм, устанавливающих ограничение права собственности в интересах соседа в виде пределов и форм осуществления данного права, а также способов его защиты при выходе за установленные ограничения и альтернативные варианты урегулирования последствий при выходе за установленные пределы, образующих самостоятельный правовой институт</w:t>
      </w:r>
      <w:r w:rsidRPr="00D23E5C">
        <w:rPr>
          <w:rStyle w:val="a7"/>
          <w:rFonts w:ascii="Times New Roman" w:hAnsi="Times New Roman" w:cs="Times New Roman"/>
          <w:sz w:val="24"/>
          <w:szCs w:val="24"/>
        </w:rPr>
        <w:footnoteReference w:id="33"/>
      </w:r>
      <w:r w:rsidRPr="00D23E5C">
        <w:rPr>
          <w:rFonts w:ascii="Times New Roman" w:hAnsi="Times New Roman" w:cs="Times New Roman"/>
          <w:sz w:val="24"/>
          <w:szCs w:val="24"/>
        </w:rPr>
        <w:t>.</w:t>
      </w:r>
    </w:p>
    <w:p w14:paraId="19D344DD" w14:textId="77777777" w:rsidR="00D23E5C" w:rsidRPr="00D23E5C" w:rsidRDefault="00D23E5C" w:rsidP="00D23E5C">
      <w:pPr>
        <w:spacing w:after="0" w:line="240" w:lineRule="auto"/>
        <w:ind w:firstLine="567"/>
        <w:jc w:val="both"/>
        <w:rPr>
          <w:rFonts w:ascii="Times New Roman" w:hAnsi="Times New Roman" w:cs="Times New Roman"/>
          <w:sz w:val="24"/>
          <w:szCs w:val="24"/>
        </w:rPr>
      </w:pPr>
      <w:r w:rsidRPr="00D23E5C">
        <w:rPr>
          <w:rFonts w:ascii="Times New Roman" w:hAnsi="Times New Roman" w:cs="Times New Roman"/>
          <w:sz w:val="24"/>
          <w:szCs w:val="24"/>
        </w:rPr>
        <w:t xml:space="preserve">При этом, на наш взгляд, законодатель необоснованно сужает субъектный состав. Представляется более верным распространить положения законопроекта наряду с </w:t>
      </w:r>
      <w:r w:rsidRPr="00D23E5C">
        <w:rPr>
          <w:rFonts w:ascii="Times New Roman" w:hAnsi="Times New Roman" w:cs="Times New Roman"/>
          <w:sz w:val="24"/>
          <w:szCs w:val="24"/>
        </w:rPr>
        <w:lastRenderedPageBreak/>
        <w:t xml:space="preserve">собственником на иного титульного владельца, в качестве которого может выступать к примеру арендатор. </w:t>
      </w:r>
    </w:p>
    <w:p w14:paraId="59059040" w14:textId="77777777" w:rsidR="00D23E5C" w:rsidRPr="00D23E5C" w:rsidRDefault="00D23E5C" w:rsidP="00D23E5C">
      <w:pPr>
        <w:spacing w:after="0" w:line="240" w:lineRule="auto"/>
        <w:ind w:firstLine="567"/>
        <w:jc w:val="both"/>
        <w:rPr>
          <w:rFonts w:ascii="Times New Roman" w:hAnsi="Times New Roman" w:cs="Times New Roman"/>
          <w:sz w:val="24"/>
          <w:szCs w:val="24"/>
        </w:rPr>
      </w:pPr>
      <w:r w:rsidRPr="00D23E5C">
        <w:rPr>
          <w:rFonts w:ascii="Times New Roman" w:hAnsi="Times New Roman" w:cs="Times New Roman"/>
          <w:sz w:val="24"/>
          <w:szCs w:val="24"/>
        </w:rPr>
        <w:t>При этом, анализируя то, что нормы образующие соседское право, так или иначе ограничивают права собственника, следует прежде всего отделить указанные ограничения от устанавливаемых в интересах всего общества и характеризующимися императивными методами воздействия</w:t>
      </w:r>
      <w:r w:rsidRPr="00D23E5C">
        <w:rPr>
          <w:rStyle w:val="a7"/>
          <w:rFonts w:ascii="Times New Roman" w:hAnsi="Times New Roman" w:cs="Times New Roman"/>
          <w:sz w:val="24"/>
          <w:szCs w:val="24"/>
        </w:rPr>
        <w:footnoteReference w:id="34"/>
      </w:r>
      <w:r w:rsidRPr="00D23E5C">
        <w:rPr>
          <w:rFonts w:ascii="Times New Roman" w:hAnsi="Times New Roman" w:cs="Times New Roman"/>
          <w:sz w:val="24"/>
          <w:szCs w:val="24"/>
        </w:rPr>
        <w:t>.</w:t>
      </w:r>
    </w:p>
    <w:p w14:paraId="457BD4E8" w14:textId="77777777" w:rsidR="00D23E5C" w:rsidRPr="00D23E5C" w:rsidRDefault="00D23E5C" w:rsidP="00D23E5C">
      <w:pPr>
        <w:spacing w:after="0" w:line="240" w:lineRule="auto"/>
        <w:ind w:firstLine="567"/>
        <w:jc w:val="both"/>
        <w:rPr>
          <w:rFonts w:ascii="Times New Roman" w:hAnsi="Times New Roman" w:cs="Times New Roman"/>
          <w:sz w:val="24"/>
          <w:szCs w:val="24"/>
        </w:rPr>
      </w:pPr>
      <w:r w:rsidRPr="00D23E5C">
        <w:rPr>
          <w:rFonts w:ascii="Times New Roman" w:hAnsi="Times New Roman" w:cs="Times New Roman"/>
          <w:sz w:val="24"/>
          <w:szCs w:val="24"/>
        </w:rPr>
        <w:t>Ограничения, устанавливаемые соседским правом, характеризуются тем, что ограничивают собственника в интересах отдельных лиц, в частности соседей посредством применения диспозитивных методов. При этом также следует отметить, что соседское право может ограничить права собственника исключительно в сфере владения и пользования, не затрагивая правомочие распоряжения.</w:t>
      </w:r>
    </w:p>
    <w:p w14:paraId="3AA3AEC9" w14:textId="77777777" w:rsidR="00D23E5C" w:rsidRPr="00D23E5C" w:rsidRDefault="00D23E5C" w:rsidP="00D23E5C">
      <w:pPr>
        <w:spacing w:after="0" w:line="240" w:lineRule="auto"/>
        <w:ind w:firstLine="567"/>
        <w:jc w:val="both"/>
        <w:rPr>
          <w:rFonts w:ascii="Times New Roman" w:hAnsi="Times New Roman" w:cs="Times New Roman"/>
          <w:sz w:val="24"/>
          <w:szCs w:val="24"/>
        </w:rPr>
      </w:pPr>
      <w:r w:rsidRPr="00D23E5C">
        <w:rPr>
          <w:rFonts w:ascii="Times New Roman" w:hAnsi="Times New Roman" w:cs="Times New Roman"/>
          <w:sz w:val="24"/>
          <w:szCs w:val="24"/>
        </w:rPr>
        <w:t>Таким образом, предлагаем рассматривать соседское право как совокупность гражданско-правовых норм, устанавливающих формы разрешенного воздействия владельца земельного участка на соседний земельный участок, его пределы, обязанности соседа терпеть данное воздействие, осуществляемое в разумных пределах, в рамках установленных нормативов, исходя из природы и местоположения земельных участков или из обычая; а также регулирующих взаимоотношения соседей в случае выхода владельца за указанные пределы, включая порядок и способы защиты.</w:t>
      </w:r>
    </w:p>
    <w:p w14:paraId="34751B14" w14:textId="77777777" w:rsidR="00D23E5C" w:rsidRPr="00D23E5C" w:rsidRDefault="00D23E5C" w:rsidP="00D23E5C">
      <w:pPr>
        <w:spacing w:after="0" w:line="240" w:lineRule="auto"/>
        <w:jc w:val="both"/>
        <w:rPr>
          <w:rFonts w:ascii="Times New Roman" w:hAnsi="Times New Roman" w:cs="Times New Roman"/>
          <w:sz w:val="24"/>
          <w:szCs w:val="24"/>
        </w:rPr>
      </w:pPr>
    </w:p>
    <w:p w14:paraId="0B9CA1BD" w14:textId="77777777" w:rsidR="00D23E5C" w:rsidRPr="00D23E5C" w:rsidRDefault="00D23E5C" w:rsidP="00D23E5C">
      <w:pPr>
        <w:spacing w:line="240" w:lineRule="auto"/>
        <w:jc w:val="center"/>
        <w:rPr>
          <w:rFonts w:ascii="Times New Roman" w:hAnsi="Times New Roman" w:cs="Times New Roman"/>
          <w:b/>
          <w:sz w:val="24"/>
          <w:szCs w:val="24"/>
        </w:rPr>
      </w:pPr>
      <w:r w:rsidRPr="00D23E5C">
        <w:rPr>
          <w:rFonts w:ascii="Times New Roman" w:hAnsi="Times New Roman" w:cs="Times New Roman"/>
          <w:b/>
          <w:sz w:val="24"/>
          <w:szCs w:val="24"/>
        </w:rPr>
        <w:t>Библиографический список:</w:t>
      </w:r>
    </w:p>
    <w:p w14:paraId="71B4505D" w14:textId="4F1D4865" w:rsidR="00D23E5C" w:rsidRPr="00D23E5C" w:rsidRDefault="00D23E5C" w:rsidP="00D23E5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r w:rsidRPr="00D23E5C">
        <w:rPr>
          <w:rFonts w:ascii="Times New Roman" w:hAnsi="Times New Roman" w:cs="Times New Roman"/>
          <w:sz w:val="24"/>
          <w:szCs w:val="24"/>
        </w:rPr>
        <w:t xml:space="preserve">. </w:t>
      </w:r>
      <w:r w:rsidRPr="00D23E5C">
        <w:rPr>
          <w:rFonts w:ascii="Times New Roman" w:hAnsi="Times New Roman" w:cs="Times New Roman"/>
          <w:i/>
          <w:sz w:val="24"/>
          <w:szCs w:val="24"/>
        </w:rPr>
        <w:t>Камышанский В. П.</w:t>
      </w:r>
      <w:r w:rsidRPr="00D23E5C">
        <w:rPr>
          <w:rFonts w:ascii="Times New Roman" w:hAnsi="Times New Roman" w:cs="Times New Roman"/>
          <w:sz w:val="24"/>
          <w:szCs w:val="24"/>
        </w:rPr>
        <w:t xml:space="preserve"> Пределы и ограничения права собственности: монография. - Волгоград : Волгоград. юрид. ин-т МВД России, 2000. - С. 118.</w:t>
      </w:r>
    </w:p>
    <w:p w14:paraId="2D7BFAE5" w14:textId="1126B814" w:rsidR="00D23E5C" w:rsidRPr="00D23E5C" w:rsidRDefault="00D23E5C" w:rsidP="00D23E5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w:t>
      </w:r>
      <w:r w:rsidRPr="00D23E5C">
        <w:rPr>
          <w:rFonts w:ascii="Times New Roman" w:hAnsi="Times New Roman" w:cs="Times New Roman"/>
          <w:sz w:val="24"/>
          <w:szCs w:val="24"/>
        </w:rPr>
        <w:t xml:space="preserve">. </w:t>
      </w:r>
      <w:r w:rsidRPr="00D23E5C">
        <w:rPr>
          <w:rFonts w:ascii="Times New Roman" w:hAnsi="Times New Roman" w:cs="Times New Roman"/>
          <w:i/>
          <w:sz w:val="24"/>
          <w:szCs w:val="24"/>
        </w:rPr>
        <w:t>Емелькина И. А.</w:t>
      </w:r>
      <w:r w:rsidRPr="00D23E5C">
        <w:rPr>
          <w:rFonts w:ascii="Times New Roman" w:hAnsi="Times New Roman" w:cs="Times New Roman"/>
          <w:sz w:val="24"/>
          <w:szCs w:val="24"/>
        </w:rPr>
        <w:t xml:space="preserve"> К дискуссии о разграничении вещных и обязательственных прав // Нотариус. - 2016. - № 1. - С. 17-19.</w:t>
      </w:r>
    </w:p>
    <w:p w14:paraId="7C3DBB20" w14:textId="77777777" w:rsidR="00D23E5C" w:rsidRDefault="00D23E5C" w:rsidP="001B6C3B">
      <w:pPr>
        <w:spacing w:after="0" w:line="240" w:lineRule="auto"/>
        <w:ind w:left="5387"/>
        <w:jc w:val="both"/>
        <w:rPr>
          <w:rFonts w:ascii="Times New Roman" w:hAnsi="Times New Roman" w:cs="Times New Roman"/>
          <w:b/>
          <w:bCs/>
          <w:sz w:val="24"/>
          <w:szCs w:val="24"/>
        </w:rPr>
      </w:pPr>
    </w:p>
    <w:p w14:paraId="3B433235" w14:textId="77777777" w:rsidR="00D23E5C" w:rsidRDefault="00D23E5C" w:rsidP="001B6C3B">
      <w:pPr>
        <w:spacing w:after="0" w:line="240" w:lineRule="auto"/>
        <w:ind w:left="5387"/>
        <w:jc w:val="both"/>
        <w:rPr>
          <w:rFonts w:ascii="Times New Roman" w:hAnsi="Times New Roman" w:cs="Times New Roman"/>
          <w:b/>
          <w:bCs/>
          <w:sz w:val="24"/>
          <w:szCs w:val="24"/>
        </w:rPr>
      </w:pPr>
    </w:p>
    <w:p w14:paraId="76DA2901" w14:textId="77777777" w:rsidR="00D23E5C" w:rsidRDefault="00D23E5C" w:rsidP="001B6C3B">
      <w:pPr>
        <w:spacing w:after="0" w:line="240" w:lineRule="auto"/>
        <w:ind w:left="5387"/>
        <w:jc w:val="both"/>
        <w:rPr>
          <w:rFonts w:ascii="Times New Roman" w:hAnsi="Times New Roman" w:cs="Times New Roman"/>
          <w:b/>
          <w:bCs/>
          <w:sz w:val="24"/>
          <w:szCs w:val="24"/>
        </w:rPr>
      </w:pPr>
    </w:p>
    <w:p w14:paraId="58BE06A2" w14:textId="77777777" w:rsidR="00D23E5C" w:rsidRDefault="00D23E5C" w:rsidP="001B6C3B">
      <w:pPr>
        <w:spacing w:after="0" w:line="240" w:lineRule="auto"/>
        <w:ind w:left="5387"/>
        <w:jc w:val="both"/>
        <w:rPr>
          <w:rFonts w:ascii="Times New Roman" w:hAnsi="Times New Roman" w:cs="Times New Roman"/>
          <w:b/>
          <w:bCs/>
          <w:sz w:val="24"/>
          <w:szCs w:val="24"/>
        </w:rPr>
      </w:pPr>
    </w:p>
    <w:p w14:paraId="6FC7A2A5" w14:textId="77777777" w:rsidR="00D23E5C" w:rsidRDefault="00D23E5C" w:rsidP="001B6C3B">
      <w:pPr>
        <w:spacing w:after="0" w:line="240" w:lineRule="auto"/>
        <w:ind w:left="5387"/>
        <w:jc w:val="both"/>
        <w:rPr>
          <w:rFonts w:ascii="Times New Roman" w:hAnsi="Times New Roman" w:cs="Times New Roman"/>
          <w:b/>
          <w:bCs/>
          <w:sz w:val="24"/>
          <w:szCs w:val="24"/>
        </w:rPr>
      </w:pPr>
    </w:p>
    <w:p w14:paraId="15BE00FD" w14:textId="77777777" w:rsidR="00D23E5C" w:rsidRDefault="00D23E5C" w:rsidP="001B6C3B">
      <w:pPr>
        <w:spacing w:after="0" w:line="240" w:lineRule="auto"/>
        <w:ind w:left="5387"/>
        <w:jc w:val="both"/>
        <w:rPr>
          <w:rFonts w:ascii="Times New Roman" w:hAnsi="Times New Roman" w:cs="Times New Roman"/>
          <w:b/>
          <w:bCs/>
          <w:sz w:val="24"/>
          <w:szCs w:val="24"/>
        </w:rPr>
      </w:pPr>
    </w:p>
    <w:p w14:paraId="574B5886" w14:textId="77777777" w:rsidR="00D23E5C" w:rsidRDefault="00D23E5C" w:rsidP="001B6C3B">
      <w:pPr>
        <w:spacing w:after="0" w:line="240" w:lineRule="auto"/>
        <w:ind w:left="5387"/>
        <w:jc w:val="both"/>
        <w:rPr>
          <w:rFonts w:ascii="Times New Roman" w:hAnsi="Times New Roman" w:cs="Times New Roman"/>
          <w:b/>
          <w:bCs/>
          <w:sz w:val="24"/>
          <w:szCs w:val="24"/>
        </w:rPr>
      </w:pPr>
    </w:p>
    <w:p w14:paraId="2EA78A2B" w14:textId="77777777" w:rsidR="00D23E5C" w:rsidRDefault="00D23E5C" w:rsidP="001B6C3B">
      <w:pPr>
        <w:spacing w:after="0" w:line="240" w:lineRule="auto"/>
        <w:ind w:left="5387"/>
        <w:jc w:val="both"/>
        <w:rPr>
          <w:rFonts w:ascii="Times New Roman" w:hAnsi="Times New Roman" w:cs="Times New Roman"/>
          <w:b/>
          <w:bCs/>
          <w:sz w:val="24"/>
          <w:szCs w:val="24"/>
        </w:rPr>
      </w:pPr>
    </w:p>
    <w:p w14:paraId="124677DE" w14:textId="77777777" w:rsidR="00D23E5C" w:rsidRDefault="00D23E5C" w:rsidP="001B6C3B">
      <w:pPr>
        <w:spacing w:after="0" w:line="240" w:lineRule="auto"/>
        <w:ind w:left="5387"/>
        <w:jc w:val="both"/>
        <w:rPr>
          <w:rFonts w:ascii="Times New Roman" w:hAnsi="Times New Roman" w:cs="Times New Roman"/>
          <w:b/>
          <w:bCs/>
          <w:sz w:val="24"/>
          <w:szCs w:val="24"/>
        </w:rPr>
      </w:pPr>
    </w:p>
    <w:p w14:paraId="79273D3D" w14:textId="77777777" w:rsidR="00D23E5C" w:rsidRDefault="00D23E5C" w:rsidP="001B6C3B">
      <w:pPr>
        <w:spacing w:after="0" w:line="240" w:lineRule="auto"/>
        <w:ind w:left="5387"/>
        <w:jc w:val="both"/>
        <w:rPr>
          <w:rFonts w:ascii="Times New Roman" w:hAnsi="Times New Roman" w:cs="Times New Roman"/>
          <w:b/>
          <w:bCs/>
          <w:sz w:val="24"/>
          <w:szCs w:val="24"/>
        </w:rPr>
      </w:pPr>
    </w:p>
    <w:p w14:paraId="53BAD889" w14:textId="77777777" w:rsidR="00D23E5C" w:rsidRDefault="00D23E5C" w:rsidP="001B6C3B">
      <w:pPr>
        <w:spacing w:after="0" w:line="240" w:lineRule="auto"/>
        <w:ind w:left="5387"/>
        <w:jc w:val="both"/>
        <w:rPr>
          <w:rFonts w:ascii="Times New Roman" w:hAnsi="Times New Roman" w:cs="Times New Roman"/>
          <w:b/>
          <w:bCs/>
          <w:sz w:val="24"/>
          <w:szCs w:val="24"/>
        </w:rPr>
      </w:pPr>
    </w:p>
    <w:p w14:paraId="42600123" w14:textId="77777777" w:rsidR="00D23E5C" w:rsidRDefault="00D23E5C" w:rsidP="001B6C3B">
      <w:pPr>
        <w:spacing w:after="0" w:line="240" w:lineRule="auto"/>
        <w:ind w:left="5387"/>
        <w:jc w:val="both"/>
        <w:rPr>
          <w:rFonts w:ascii="Times New Roman" w:hAnsi="Times New Roman" w:cs="Times New Roman"/>
          <w:b/>
          <w:bCs/>
          <w:sz w:val="24"/>
          <w:szCs w:val="24"/>
        </w:rPr>
      </w:pPr>
    </w:p>
    <w:p w14:paraId="5C6B6561" w14:textId="77777777" w:rsidR="00D23E5C" w:rsidRDefault="00D23E5C" w:rsidP="001B6C3B">
      <w:pPr>
        <w:spacing w:after="0" w:line="240" w:lineRule="auto"/>
        <w:ind w:left="5387"/>
        <w:jc w:val="both"/>
        <w:rPr>
          <w:rFonts w:ascii="Times New Roman" w:hAnsi="Times New Roman" w:cs="Times New Roman"/>
          <w:b/>
          <w:bCs/>
          <w:sz w:val="24"/>
          <w:szCs w:val="24"/>
        </w:rPr>
      </w:pPr>
    </w:p>
    <w:p w14:paraId="3AE585F0" w14:textId="77777777" w:rsidR="00D23E5C" w:rsidRDefault="00D23E5C" w:rsidP="001B6C3B">
      <w:pPr>
        <w:spacing w:after="0" w:line="240" w:lineRule="auto"/>
        <w:ind w:left="5387"/>
        <w:jc w:val="both"/>
        <w:rPr>
          <w:rFonts w:ascii="Times New Roman" w:hAnsi="Times New Roman" w:cs="Times New Roman"/>
          <w:b/>
          <w:bCs/>
          <w:sz w:val="24"/>
          <w:szCs w:val="24"/>
        </w:rPr>
      </w:pPr>
    </w:p>
    <w:p w14:paraId="247E9784" w14:textId="77777777" w:rsidR="00D23E5C" w:rsidRDefault="00D23E5C" w:rsidP="001B6C3B">
      <w:pPr>
        <w:spacing w:after="0" w:line="240" w:lineRule="auto"/>
        <w:ind w:left="5387"/>
        <w:jc w:val="both"/>
        <w:rPr>
          <w:rFonts w:ascii="Times New Roman" w:hAnsi="Times New Roman" w:cs="Times New Roman"/>
          <w:b/>
          <w:bCs/>
          <w:sz w:val="24"/>
          <w:szCs w:val="24"/>
        </w:rPr>
      </w:pPr>
    </w:p>
    <w:p w14:paraId="0DF48CAC" w14:textId="77777777" w:rsidR="00D23E5C" w:rsidRDefault="00D23E5C" w:rsidP="001B6C3B">
      <w:pPr>
        <w:spacing w:after="0" w:line="240" w:lineRule="auto"/>
        <w:ind w:left="5387"/>
        <w:jc w:val="both"/>
        <w:rPr>
          <w:rFonts w:ascii="Times New Roman" w:hAnsi="Times New Roman" w:cs="Times New Roman"/>
          <w:b/>
          <w:bCs/>
          <w:sz w:val="24"/>
          <w:szCs w:val="24"/>
        </w:rPr>
      </w:pPr>
    </w:p>
    <w:p w14:paraId="219F5A21" w14:textId="77777777" w:rsidR="00D23E5C" w:rsidRDefault="00D23E5C" w:rsidP="001B6C3B">
      <w:pPr>
        <w:spacing w:after="0" w:line="240" w:lineRule="auto"/>
        <w:ind w:left="5387"/>
        <w:jc w:val="both"/>
        <w:rPr>
          <w:rFonts w:ascii="Times New Roman" w:hAnsi="Times New Roman" w:cs="Times New Roman"/>
          <w:b/>
          <w:bCs/>
          <w:sz w:val="24"/>
          <w:szCs w:val="24"/>
        </w:rPr>
      </w:pPr>
    </w:p>
    <w:p w14:paraId="42B1A997" w14:textId="77777777" w:rsidR="00D23E5C" w:rsidRDefault="00D23E5C" w:rsidP="001B6C3B">
      <w:pPr>
        <w:spacing w:after="0" w:line="240" w:lineRule="auto"/>
        <w:ind w:left="5387"/>
        <w:jc w:val="both"/>
        <w:rPr>
          <w:rFonts w:ascii="Times New Roman" w:hAnsi="Times New Roman" w:cs="Times New Roman"/>
          <w:b/>
          <w:bCs/>
          <w:sz w:val="24"/>
          <w:szCs w:val="24"/>
        </w:rPr>
      </w:pPr>
    </w:p>
    <w:p w14:paraId="583E8EC9" w14:textId="77777777" w:rsidR="00D23E5C" w:rsidRDefault="00D23E5C" w:rsidP="001B6C3B">
      <w:pPr>
        <w:spacing w:after="0" w:line="240" w:lineRule="auto"/>
        <w:ind w:left="5387"/>
        <w:jc w:val="both"/>
        <w:rPr>
          <w:rFonts w:ascii="Times New Roman" w:hAnsi="Times New Roman" w:cs="Times New Roman"/>
          <w:b/>
          <w:bCs/>
          <w:sz w:val="24"/>
          <w:szCs w:val="24"/>
        </w:rPr>
      </w:pPr>
    </w:p>
    <w:p w14:paraId="457914FD" w14:textId="77777777" w:rsidR="00D23E5C" w:rsidRDefault="00D23E5C" w:rsidP="001B6C3B">
      <w:pPr>
        <w:spacing w:after="0" w:line="240" w:lineRule="auto"/>
        <w:ind w:left="5387"/>
        <w:jc w:val="both"/>
        <w:rPr>
          <w:rFonts w:ascii="Times New Roman" w:hAnsi="Times New Roman" w:cs="Times New Roman"/>
          <w:b/>
          <w:bCs/>
          <w:sz w:val="24"/>
          <w:szCs w:val="24"/>
        </w:rPr>
      </w:pPr>
    </w:p>
    <w:p w14:paraId="62699686" w14:textId="77777777" w:rsidR="00D23E5C" w:rsidRDefault="00D23E5C" w:rsidP="001B6C3B">
      <w:pPr>
        <w:spacing w:after="0" w:line="240" w:lineRule="auto"/>
        <w:ind w:left="5387"/>
        <w:jc w:val="both"/>
        <w:rPr>
          <w:rFonts w:ascii="Times New Roman" w:hAnsi="Times New Roman" w:cs="Times New Roman"/>
          <w:b/>
          <w:bCs/>
          <w:sz w:val="24"/>
          <w:szCs w:val="24"/>
        </w:rPr>
      </w:pPr>
    </w:p>
    <w:p w14:paraId="4E4BED4F" w14:textId="77777777" w:rsidR="00575A86" w:rsidRDefault="00575A86" w:rsidP="001B6C3B">
      <w:pPr>
        <w:spacing w:after="0" w:line="240" w:lineRule="auto"/>
        <w:ind w:left="5387"/>
        <w:jc w:val="both"/>
        <w:rPr>
          <w:rFonts w:ascii="Times New Roman" w:hAnsi="Times New Roman" w:cs="Times New Roman"/>
          <w:b/>
          <w:bCs/>
          <w:sz w:val="24"/>
          <w:szCs w:val="24"/>
        </w:rPr>
      </w:pPr>
    </w:p>
    <w:p w14:paraId="788A5C65" w14:textId="77777777" w:rsidR="00575A86" w:rsidRDefault="00575A86" w:rsidP="001B6C3B">
      <w:pPr>
        <w:spacing w:after="0" w:line="240" w:lineRule="auto"/>
        <w:ind w:left="5387"/>
        <w:jc w:val="both"/>
        <w:rPr>
          <w:rFonts w:ascii="Times New Roman" w:hAnsi="Times New Roman" w:cs="Times New Roman"/>
          <w:b/>
          <w:bCs/>
          <w:sz w:val="24"/>
          <w:szCs w:val="24"/>
        </w:rPr>
      </w:pPr>
    </w:p>
    <w:p w14:paraId="100A58A1" w14:textId="77777777" w:rsidR="00575A86" w:rsidRDefault="00575A86" w:rsidP="001B6C3B">
      <w:pPr>
        <w:spacing w:after="0" w:line="240" w:lineRule="auto"/>
        <w:ind w:left="5387"/>
        <w:jc w:val="both"/>
        <w:rPr>
          <w:rFonts w:ascii="Times New Roman" w:hAnsi="Times New Roman" w:cs="Times New Roman"/>
          <w:b/>
          <w:bCs/>
          <w:sz w:val="24"/>
          <w:szCs w:val="24"/>
        </w:rPr>
      </w:pPr>
    </w:p>
    <w:p w14:paraId="52299255" w14:textId="77777777" w:rsidR="00575A86" w:rsidRDefault="00575A86" w:rsidP="001B6C3B">
      <w:pPr>
        <w:spacing w:after="0" w:line="240" w:lineRule="auto"/>
        <w:ind w:left="5387"/>
        <w:jc w:val="both"/>
        <w:rPr>
          <w:rFonts w:ascii="Times New Roman" w:hAnsi="Times New Roman" w:cs="Times New Roman"/>
          <w:b/>
          <w:bCs/>
          <w:sz w:val="24"/>
          <w:szCs w:val="24"/>
        </w:rPr>
      </w:pPr>
    </w:p>
    <w:p w14:paraId="1FDFAB36" w14:textId="77777777" w:rsidR="00575A86" w:rsidRDefault="00575A86" w:rsidP="00575A86">
      <w:pPr>
        <w:jc w:val="right"/>
        <w:rPr>
          <w:rFonts w:ascii="Times New Roman" w:hAnsi="Times New Roman" w:cs="Times New Roman"/>
          <w:b/>
        </w:rPr>
      </w:pPr>
      <w:r w:rsidRPr="000C2FCB">
        <w:rPr>
          <w:rFonts w:ascii="Times New Roman" w:hAnsi="Times New Roman" w:cs="Times New Roman"/>
          <w:b/>
        </w:rPr>
        <w:lastRenderedPageBreak/>
        <w:t>УДК 347.254</w:t>
      </w:r>
    </w:p>
    <w:p w14:paraId="62B7F268" w14:textId="77777777" w:rsidR="00575A86" w:rsidRDefault="00575A86" w:rsidP="00575A86">
      <w:pPr>
        <w:jc w:val="right"/>
        <w:rPr>
          <w:rFonts w:ascii="Times New Roman" w:hAnsi="Times New Roman" w:cs="Times New Roman"/>
          <w:b/>
        </w:rPr>
      </w:pPr>
    </w:p>
    <w:p w14:paraId="45DB7E09" w14:textId="77777777" w:rsidR="00575A86" w:rsidRDefault="00575A86" w:rsidP="00575A86">
      <w:pPr>
        <w:rPr>
          <w:rFonts w:ascii="Times New Roman" w:hAnsi="Times New Roman" w:cs="Times New Roman"/>
          <w:b/>
        </w:rPr>
      </w:pPr>
      <w:r>
        <w:rPr>
          <w:rFonts w:ascii="Times New Roman" w:hAnsi="Times New Roman" w:cs="Times New Roman"/>
          <w:b/>
        </w:rPr>
        <w:t xml:space="preserve">                                               Багаденко Мария Олеговна</w:t>
      </w:r>
    </w:p>
    <w:p w14:paraId="107EFB96" w14:textId="77777777" w:rsidR="00575A86" w:rsidRPr="000C2FCB" w:rsidRDefault="00575A86" w:rsidP="00575A86">
      <w:pPr>
        <w:rPr>
          <w:rFonts w:ascii="Times New Roman" w:hAnsi="Times New Roman" w:cs="Times New Roman"/>
          <w:b/>
        </w:rPr>
      </w:pPr>
      <w:r>
        <w:rPr>
          <w:rFonts w:ascii="Times New Roman" w:hAnsi="Times New Roman" w:cs="Times New Roman"/>
          <w:b/>
        </w:rPr>
        <w:t xml:space="preserve">                                               </w:t>
      </w:r>
      <w:r>
        <w:rPr>
          <w:rFonts w:ascii="Times New Roman" w:hAnsi="Times New Roman" w:cs="Times New Roman"/>
          <w:b/>
          <w:lang w:val="en-US"/>
        </w:rPr>
        <w:t>Bagadenko</w:t>
      </w:r>
      <w:r w:rsidRPr="000C2FCB">
        <w:rPr>
          <w:rFonts w:ascii="Times New Roman" w:hAnsi="Times New Roman" w:cs="Times New Roman"/>
          <w:b/>
        </w:rPr>
        <w:t xml:space="preserve"> </w:t>
      </w:r>
      <w:r>
        <w:rPr>
          <w:rFonts w:ascii="Times New Roman" w:hAnsi="Times New Roman" w:cs="Times New Roman"/>
          <w:b/>
          <w:lang w:val="en-US"/>
        </w:rPr>
        <w:t>Maria</w:t>
      </w:r>
      <w:r w:rsidRPr="000C2FCB">
        <w:rPr>
          <w:rFonts w:ascii="Times New Roman" w:hAnsi="Times New Roman" w:cs="Times New Roman"/>
          <w:b/>
        </w:rPr>
        <w:t xml:space="preserve"> </w:t>
      </w:r>
      <w:r>
        <w:rPr>
          <w:rFonts w:ascii="Times New Roman" w:hAnsi="Times New Roman" w:cs="Times New Roman"/>
          <w:b/>
          <w:lang w:val="en-US"/>
        </w:rPr>
        <w:t>Olegovna</w:t>
      </w:r>
    </w:p>
    <w:p w14:paraId="72865493" w14:textId="77777777" w:rsidR="00575A86" w:rsidRPr="00F72B6A" w:rsidRDefault="00575A86" w:rsidP="00575A86">
      <w:pPr>
        <w:ind w:left="2835"/>
        <w:rPr>
          <w:rFonts w:ascii="Times New Roman" w:hAnsi="Times New Roman" w:cs="Times New Roman"/>
        </w:rPr>
      </w:pPr>
      <w:r>
        <w:rPr>
          <w:rFonts w:ascii="Times New Roman" w:hAnsi="Times New Roman" w:cs="Times New Roman"/>
        </w:rPr>
        <w:t xml:space="preserve">магистр, Федеральное </w:t>
      </w:r>
      <w:r w:rsidRPr="00F72B6A">
        <w:rPr>
          <w:rFonts w:ascii="Times New Roman" w:hAnsi="Times New Roman" w:cs="Times New Roman"/>
        </w:rPr>
        <w:t>государственное бюджетное образовательное учреждение высшего образования «Кубанский государственный аграрный университет имени И.Т. Трубилина»</w:t>
      </w:r>
    </w:p>
    <w:p w14:paraId="26677641" w14:textId="77777777" w:rsidR="00575A86" w:rsidRPr="00F72B6A" w:rsidRDefault="00575A86" w:rsidP="00575A86">
      <w:pPr>
        <w:pStyle w:val="ConsPlusNormal"/>
        <w:ind w:left="2835"/>
        <w:rPr>
          <w:lang w:eastAsia="en-US"/>
        </w:rPr>
      </w:pPr>
      <w:r w:rsidRPr="00F72B6A">
        <w:rPr>
          <w:lang w:eastAsia="en-US"/>
        </w:rPr>
        <w:t>Federal State Budgetary Educational Institution of Higher Education</w:t>
      </w:r>
    </w:p>
    <w:p w14:paraId="6A304FFC" w14:textId="77777777" w:rsidR="00575A86" w:rsidRPr="00F72B6A" w:rsidRDefault="00575A86" w:rsidP="00575A86">
      <w:pPr>
        <w:pStyle w:val="ConsPlusNormal"/>
        <w:ind w:left="2835"/>
        <w:rPr>
          <w:lang w:eastAsia="en-US"/>
        </w:rPr>
      </w:pPr>
      <w:r w:rsidRPr="00F72B6A">
        <w:rPr>
          <w:lang w:eastAsia="en-US"/>
        </w:rPr>
        <w:t>“Kuban State Agrarian University named after I.T. Trubilin”</w:t>
      </w:r>
    </w:p>
    <w:p w14:paraId="5A797579" w14:textId="77777777" w:rsidR="00575A86" w:rsidRPr="00F72B6A" w:rsidRDefault="00575A86" w:rsidP="00575A86">
      <w:pPr>
        <w:pStyle w:val="ConsPlusNormal"/>
        <w:ind w:left="2835"/>
        <w:rPr>
          <w:lang w:val="ru-RU" w:eastAsia="en-US"/>
        </w:rPr>
      </w:pPr>
      <w:r w:rsidRPr="00F72B6A">
        <w:rPr>
          <w:lang w:val="ru-RU" w:eastAsia="en-US"/>
        </w:rPr>
        <w:t>Российская Федерация, г. Краснодар</w:t>
      </w:r>
    </w:p>
    <w:p w14:paraId="009C97A0" w14:textId="77777777" w:rsidR="00575A86" w:rsidRPr="00D83C26" w:rsidRDefault="00575A86" w:rsidP="00575A86">
      <w:pPr>
        <w:pStyle w:val="ConsPlusNormal"/>
        <w:ind w:left="2835"/>
        <w:rPr>
          <w:lang w:val="ru-RU" w:eastAsia="en-US"/>
        </w:rPr>
      </w:pPr>
      <w:r w:rsidRPr="00F72B6A">
        <w:rPr>
          <w:lang w:eastAsia="en-US"/>
        </w:rPr>
        <w:t>Russian</w:t>
      </w:r>
      <w:r w:rsidRPr="00F72B6A">
        <w:rPr>
          <w:lang w:val="ru-RU" w:eastAsia="en-US"/>
        </w:rPr>
        <w:t xml:space="preserve"> </w:t>
      </w:r>
      <w:r w:rsidRPr="00F72B6A">
        <w:rPr>
          <w:lang w:eastAsia="en-US"/>
        </w:rPr>
        <w:t>Federation</w:t>
      </w:r>
      <w:r w:rsidRPr="00F72B6A">
        <w:rPr>
          <w:lang w:val="ru-RU" w:eastAsia="en-US"/>
        </w:rPr>
        <w:t xml:space="preserve">, </w:t>
      </w:r>
      <w:r w:rsidRPr="00F72B6A">
        <w:rPr>
          <w:lang w:eastAsia="en-US"/>
        </w:rPr>
        <w:t>Krasnodar</w:t>
      </w:r>
    </w:p>
    <w:p w14:paraId="1271817C" w14:textId="77777777" w:rsidR="00575A86" w:rsidRPr="00D83C26" w:rsidRDefault="00EE7838" w:rsidP="00575A86">
      <w:pPr>
        <w:pStyle w:val="ConsPlusNormal"/>
        <w:ind w:left="2835"/>
        <w:rPr>
          <w:lang w:val="ru-RU" w:eastAsia="en-US"/>
        </w:rPr>
      </w:pPr>
      <w:hyperlink r:id="rId15" w:history="1">
        <w:r w:rsidR="00575A86" w:rsidRPr="0038245B">
          <w:rPr>
            <w:rStyle w:val="a9"/>
            <w:lang w:eastAsia="en-US"/>
          </w:rPr>
          <w:t>mashasofiephoto</w:t>
        </w:r>
        <w:r w:rsidR="00575A86" w:rsidRPr="00D83C26">
          <w:rPr>
            <w:rStyle w:val="a9"/>
            <w:lang w:val="ru-RU" w:eastAsia="en-US"/>
          </w:rPr>
          <w:t>1998@</w:t>
        </w:r>
        <w:r w:rsidR="00575A86" w:rsidRPr="0038245B">
          <w:rPr>
            <w:rStyle w:val="a9"/>
            <w:lang w:eastAsia="en-US"/>
          </w:rPr>
          <w:t>icloud</w:t>
        </w:r>
        <w:r w:rsidR="00575A86" w:rsidRPr="00D83C26">
          <w:rPr>
            <w:rStyle w:val="a9"/>
            <w:lang w:val="ru-RU" w:eastAsia="en-US"/>
          </w:rPr>
          <w:t>.</w:t>
        </w:r>
        <w:r w:rsidR="00575A86" w:rsidRPr="0038245B">
          <w:rPr>
            <w:rStyle w:val="a9"/>
            <w:lang w:eastAsia="en-US"/>
          </w:rPr>
          <w:t>com</w:t>
        </w:r>
      </w:hyperlink>
    </w:p>
    <w:p w14:paraId="278139E8" w14:textId="77777777" w:rsidR="00575A86" w:rsidRPr="00D83C26" w:rsidRDefault="00575A86" w:rsidP="00575A86">
      <w:pPr>
        <w:pStyle w:val="ConsPlusNormal"/>
        <w:ind w:left="2835"/>
        <w:rPr>
          <w:lang w:val="ru-RU" w:eastAsia="en-US"/>
        </w:rPr>
      </w:pPr>
    </w:p>
    <w:p w14:paraId="23973FAE" w14:textId="77777777" w:rsidR="00575A86" w:rsidRPr="00D83C26" w:rsidRDefault="00575A86" w:rsidP="00575A86">
      <w:pPr>
        <w:pStyle w:val="ConsPlusNormal"/>
        <w:ind w:left="2835"/>
        <w:rPr>
          <w:lang w:val="ru-RU" w:eastAsia="en-US"/>
        </w:rPr>
      </w:pPr>
    </w:p>
    <w:p w14:paraId="7C72AF7E" w14:textId="77777777" w:rsidR="00575A86" w:rsidRDefault="00575A86" w:rsidP="00575A86">
      <w:pPr>
        <w:pStyle w:val="ConsPlusNormal"/>
        <w:jc w:val="center"/>
        <w:rPr>
          <w:b/>
          <w:lang w:val="ru-RU" w:eastAsia="en-US"/>
        </w:rPr>
      </w:pPr>
      <w:r>
        <w:rPr>
          <w:b/>
          <w:lang w:val="ru-RU" w:eastAsia="en-US"/>
        </w:rPr>
        <w:t>ЛИЦЕНЗИЯ КАК ПРАВОВОЕ ОСНОВАНИЕ ДЕЯТЕЛЬНОСТИ ПО УПРАВЛЕНИЮ МНОГОКВАРТИРНЫМИ ДОМАМИ</w:t>
      </w:r>
    </w:p>
    <w:p w14:paraId="56C35C96" w14:textId="77777777" w:rsidR="00575A86" w:rsidRDefault="00575A86" w:rsidP="00575A86">
      <w:pPr>
        <w:pStyle w:val="ConsPlusNormal"/>
        <w:jc w:val="center"/>
        <w:rPr>
          <w:b/>
          <w:lang w:val="ru-RU" w:eastAsia="en-US"/>
        </w:rPr>
      </w:pPr>
    </w:p>
    <w:p w14:paraId="1FC3C6A1" w14:textId="77777777" w:rsidR="00575A86" w:rsidRPr="000C2FCB" w:rsidRDefault="00575A86" w:rsidP="00575A86">
      <w:pPr>
        <w:pStyle w:val="ConsPlusNormal"/>
        <w:jc w:val="center"/>
        <w:rPr>
          <w:b/>
        </w:rPr>
      </w:pPr>
      <w:r w:rsidRPr="000C2FCB">
        <w:rPr>
          <w:b/>
          <w:lang w:val="en"/>
        </w:rPr>
        <w:t>LICENSE AS THE LEGAL BASIS FOR MANAGEMENT OF APARTMENT HOUSES</w:t>
      </w:r>
    </w:p>
    <w:p w14:paraId="34A7C3B0" w14:textId="77777777" w:rsidR="00575A86" w:rsidRDefault="00575A86" w:rsidP="00575A86">
      <w:pPr>
        <w:pStyle w:val="ConsPlusNormal"/>
        <w:jc w:val="center"/>
        <w:rPr>
          <w:b/>
          <w:lang w:eastAsia="en-US"/>
        </w:rPr>
      </w:pPr>
    </w:p>
    <w:p w14:paraId="230B0F6E" w14:textId="77777777" w:rsidR="00575A86" w:rsidRDefault="00575A86" w:rsidP="00575A86">
      <w:pPr>
        <w:pStyle w:val="ConsPlusNormal"/>
        <w:ind w:firstLine="851"/>
        <w:jc w:val="both"/>
        <w:rPr>
          <w:lang w:val="ru-RU" w:eastAsia="en-US"/>
        </w:rPr>
      </w:pPr>
      <w:r>
        <w:rPr>
          <w:i/>
          <w:lang w:val="ru-RU" w:eastAsia="en-US"/>
        </w:rPr>
        <w:t xml:space="preserve">Аннотация: </w:t>
      </w:r>
      <w:r w:rsidRPr="000C2FCB">
        <w:rPr>
          <w:lang w:val="ru-RU" w:eastAsia="en-US"/>
        </w:rPr>
        <w:t xml:space="preserve">В данной статье подробно рассматривается </w:t>
      </w:r>
      <w:r>
        <w:rPr>
          <w:lang w:val="ru-RU" w:eastAsia="en-US"/>
        </w:rPr>
        <w:t xml:space="preserve">вопрос о понятии лицензии как правового основания деятельности по управлению многоквартирными домами. Проводится анализ нормативно-правовых актов, которые регулируют данные правоотношения. Особое место уделяются нормам главы 19 Жилищного кодекса Российской Федерации. Затронут порядок выдачи лицензии, аннулирования, а также прекращения ее действия в сфере осуществления деятельности управления многоквартирными домами. Перечислен круг субъектов, уполномоченных участвовать в указанных правоотношениях. </w:t>
      </w:r>
    </w:p>
    <w:p w14:paraId="7A5BB64A" w14:textId="77777777" w:rsidR="00575A86" w:rsidRDefault="00575A86" w:rsidP="00575A86">
      <w:pPr>
        <w:pStyle w:val="ConsPlusNormal"/>
        <w:ind w:firstLine="851"/>
        <w:jc w:val="both"/>
        <w:rPr>
          <w:lang w:val="ru-RU" w:eastAsia="en-US"/>
        </w:rPr>
      </w:pPr>
      <w:r>
        <w:rPr>
          <w:i/>
          <w:lang w:val="ru-RU" w:eastAsia="en-US"/>
        </w:rPr>
        <w:t>Ключевые слова:</w:t>
      </w:r>
      <w:r w:rsidRPr="005A2DF3">
        <w:rPr>
          <w:i/>
          <w:lang w:val="ru-RU" w:eastAsia="en-US"/>
        </w:rPr>
        <w:t xml:space="preserve"> </w:t>
      </w:r>
      <w:r>
        <w:rPr>
          <w:lang w:val="ru-RU" w:eastAsia="en-US"/>
        </w:rPr>
        <w:t xml:space="preserve">лицензия, лицензирование, многоквартирный дом, управление, управляющие организации, лицензирование деятельности, лицензионный контроль. </w:t>
      </w:r>
    </w:p>
    <w:p w14:paraId="2B6D3217" w14:textId="77777777" w:rsidR="00575A86" w:rsidRPr="005A2DF3" w:rsidRDefault="00575A86" w:rsidP="00575A86">
      <w:pPr>
        <w:pStyle w:val="ConsPlusNormal"/>
        <w:ind w:firstLine="851"/>
        <w:jc w:val="both"/>
        <w:rPr>
          <w:lang w:eastAsia="en-US"/>
        </w:rPr>
      </w:pPr>
      <w:r w:rsidRPr="005A2DF3">
        <w:rPr>
          <w:i/>
          <w:lang w:eastAsia="en-US"/>
        </w:rPr>
        <w:t>Annotation:</w:t>
      </w:r>
      <w:r w:rsidRPr="005A2DF3">
        <w:rPr>
          <w:lang w:eastAsia="en-US"/>
        </w:rPr>
        <w:t xml:space="preserve"> This article deals in detail with the concept of a license as the legal basis for the management of apartment buildings. Regulatory and legal acts regulating these legal relations are analysed. Special attention is paid to the norms of chapter 19 of the Housing Code of the Russian Federation. The procedure for issuance of a license, cancellation, as well as termination of its validity in the sphere of activity of management of apartment buildings will be affected. The circle of subjects authorized to participate in the specified legal relations is listed.</w:t>
      </w:r>
    </w:p>
    <w:p w14:paraId="172763EA" w14:textId="77777777" w:rsidR="00575A86" w:rsidRDefault="00575A86" w:rsidP="00575A86">
      <w:pPr>
        <w:pStyle w:val="ConsPlusNormal"/>
        <w:ind w:firstLine="851"/>
        <w:jc w:val="both"/>
        <w:rPr>
          <w:lang w:eastAsia="en-US"/>
        </w:rPr>
      </w:pPr>
      <w:r w:rsidRPr="005A2DF3">
        <w:rPr>
          <w:i/>
          <w:lang w:eastAsia="en-US"/>
        </w:rPr>
        <w:t>Keywords:</w:t>
      </w:r>
      <w:r w:rsidRPr="005A2DF3">
        <w:rPr>
          <w:lang w:eastAsia="en-US"/>
        </w:rPr>
        <w:t xml:space="preserve"> license, licensing, apartment house, management, managing organizations, activity licensing, license control.</w:t>
      </w:r>
    </w:p>
    <w:p w14:paraId="5D30CD64" w14:textId="77777777" w:rsidR="00575A86" w:rsidRPr="00D83C26" w:rsidRDefault="00575A86" w:rsidP="00575A86">
      <w:pPr>
        <w:pStyle w:val="ConsPlusNormal"/>
        <w:ind w:firstLine="851"/>
        <w:jc w:val="both"/>
        <w:rPr>
          <w:lang w:val="ru-RU" w:eastAsia="en-US"/>
        </w:rPr>
      </w:pPr>
      <w:r w:rsidRPr="00D83C26">
        <w:rPr>
          <w:lang w:val="ru-RU"/>
        </w:rPr>
        <w:t xml:space="preserve">В настоящее время для того, чтобы заниматься определенным видом деятельности, требующей специального разрешения, необходима «лицензия». Что именно подразумевает под </w:t>
      </w:r>
      <w:r>
        <w:rPr>
          <w:lang w:val="ru-RU"/>
        </w:rPr>
        <w:t xml:space="preserve">собой </w:t>
      </w:r>
      <w:r w:rsidRPr="00D83C26">
        <w:rPr>
          <w:lang w:val="ru-RU"/>
        </w:rPr>
        <w:t>данн</w:t>
      </w:r>
      <w:r>
        <w:rPr>
          <w:lang w:val="ru-RU"/>
        </w:rPr>
        <w:t>ое</w:t>
      </w:r>
      <w:r w:rsidRPr="00D83C26">
        <w:rPr>
          <w:lang w:val="ru-RU"/>
        </w:rPr>
        <w:t xml:space="preserve"> понятие? Лицензия представляет специальное разрешение на осуществление определенного вида деятельности, которое подлежит обязательному соблюдению лицензионных требований, а также условий. Лицензия выдается </w:t>
      </w:r>
      <w:r>
        <w:rPr>
          <w:lang w:val="ru-RU"/>
        </w:rPr>
        <w:t xml:space="preserve">специально уполномоченным </w:t>
      </w:r>
      <w:r w:rsidRPr="00D83C26">
        <w:rPr>
          <w:lang w:val="ru-RU"/>
        </w:rPr>
        <w:t xml:space="preserve">лицензирующим органом индивидуальному предпринимателю или же юридическому лицу. Деятельность по управлению многоквартирными домами именно одна из тех, что требует обязательное наличие разрешения на ее осуществление. Таким образом, лицензия является правовым основанием для управления многоквартирным домом. </w:t>
      </w:r>
    </w:p>
    <w:p w14:paraId="344456D0" w14:textId="77777777" w:rsidR="00575A86" w:rsidRDefault="00575A86" w:rsidP="00575A86">
      <w:pPr>
        <w:pStyle w:val="ConsPlusNormal"/>
        <w:ind w:firstLine="851"/>
        <w:jc w:val="both"/>
        <w:rPr>
          <w:lang w:val="ru-RU"/>
        </w:rPr>
      </w:pPr>
      <w:r w:rsidRPr="00D83C26">
        <w:rPr>
          <w:lang w:val="ru-RU"/>
        </w:rPr>
        <w:t>Видится необходимым рассмотреть нормативно-правовую базу, регулирующую данный вид правоотношения. В первую очередь обратим внимание на</w:t>
      </w:r>
      <w:r>
        <w:rPr>
          <w:lang w:val="ru-RU"/>
        </w:rPr>
        <w:t xml:space="preserve"> Федеральной закон Российской Федерации от 04.05.2011г. № 99-ФЗ «О лицензировании отдельных видов </w:t>
      </w:r>
      <w:r>
        <w:rPr>
          <w:lang w:val="ru-RU"/>
        </w:rPr>
        <w:lastRenderedPageBreak/>
        <w:t>деятельности»</w:t>
      </w:r>
      <w:r>
        <w:rPr>
          <w:rStyle w:val="a7"/>
          <w:lang w:val="ru-RU"/>
        </w:rPr>
        <w:footnoteReference w:id="35"/>
      </w:r>
      <w:r>
        <w:rPr>
          <w:lang w:val="ru-RU"/>
        </w:rPr>
        <w:t xml:space="preserve">.В соответствии с данным нормативно-правовым актом осуществление деятельности по управлению </w:t>
      </w:r>
      <w:r w:rsidRPr="00D83C26">
        <w:rPr>
          <w:lang w:val="ru-RU"/>
        </w:rPr>
        <w:t>многоквартирными</w:t>
      </w:r>
      <w:r>
        <w:rPr>
          <w:lang w:val="ru-RU"/>
        </w:rPr>
        <w:t xml:space="preserve"> домами входит в перечень, указывающий на виды деятельности, которые подлежат лицензированию</w:t>
      </w:r>
      <w:r>
        <w:rPr>
          <w:rStyle w:val="a7"/>
          <w:lang w:val="ru-RU"/>
        </w:rPr>
        <w:footnoteReference w:id="36"/>
      </w:r>
      <w:r>
        <w:rPr>
          <w:lang w:val="ru-RU"/>
        </w:rPr>
        <w:t>. Таким образом, необходима лицензия. Нормы</w:t>
      </w:r>
      <w:r w:rsidRPr="00D83C26">
        <w:rPr>
          <w:lang w:val="ru-RU"/>
        </w:rPr>
        <w:t xml:space="preserve"> Жилищного Кодекса Российской Федерации, а именно глав</w:t>
      </w:r>
      <w:r>
        <w:rPr>
          <w:lang w:val="ru-RU"/>
        </w:rPr>
        <w:t>а</w:t>
      </w:r>
      <w:r w:rsidRPr="00D83C26">
        <w:rPr>
          <w:lang w:val="ru-RU"/>
        </w:rPr>
        <w:t xml:space="preserve"> 19</w:t>
      </w:r>
      <w:r>
        <w:rPr>
          <w:lang w:val="ru-RU"/>
        </w:rPr>
        <w:t>, также являются важным источником в данной отрасли</w:t>
      </w:r>
      <w:r w:rsidRPr="00D83C26">
        <w:rPr>
          <w:lang w:val="ru-RU"/>
        </w:rPr>
        <w:t xml:space="preserve">. В </w:t>
      </w:r>
      <w:r>
        <w:rPr>
          <w:lang w:val="ru-RU"/>
        </w:rPr>
        <w:t xml:space="preserve">них </w:t>
      </w:r>
      <w:r w:rsidRPr="00D83C26">
        <w:rPr>
          <w:lang w:val="ru-RU"/>
        </w:rPr>
        <w:t xml:space="preserve">идёт закрепление положений по поводу лицензирования деятельности по управлению многоквартирными домами. </w:t>
      </w:r>
      <w:r>
        <w:rPr>
          <w:lang w:val="ru-RU"/>
        </w:rPr>
        <w:t>Нормы данной главы устанавливаются следующие основные элементы: лицензионные требования, порядок предоставления лицензии, информация о лицензионном контроле, аннулирование лицензии и прекращение ее действия</w:t>
      </w:r>
      <w:r>
        <w:rPr>
          <w:rStyle w:val="a7"/>
          <w:lang w:val="ru-RU"/>
        </w:rPr>
        <w:footnoteReference w:id="37"/>
      </w:r>
      <w:r>
        <w:rPr>
          <w:lang w:val="ru-RU"/>
        </w:rPr>
        <w:t>.</w:t>
      </w:r>
    </w:p>
    <w:p w14:paraId="3CC3291A" w14:textId="77777777" w:rsidR="00575A86" w:rsidRDefault="00575A86" w:rsidP="00575A86">
      <w:pPr>
        <w:pStyle w:val="ConsPlusNormal"/>
        <w:ind w:firstLine="851"/>
        <w:jc w:val="both"/>
        <w:rPr>
          <w:lang w:val="ru-RU"/>
        </w:rPr>
      </w:pPr>
      <w:r>
        <w:rPr>
          <w:lang w:val="ru-RU"/>
        </w:rPr>
        <w:t>В рамках темы нашей научной работы следует определить круг субъектов, участвующих в данных правоотношениях. Основным субъектом, предоставляющим разрешение на осуществление деятельности по управлению многоквартирным домом, является орган государственного жилищного надзора субъекта Российской Федерации. Данный субъект выступает в роли лицензиара</w:t>
      </w:r>
      <w:r>
        <w:rPr>
          <w:rStyle w:val="a7"/>
          <w:lang w:val="ru-RU"/>
        </w:rPr>
        <w:footnoteReference w:id="38"/>
      </w:r>
      <w:r>
        <w:rPr>
          <w:lang w:val="ru-RU"/>
        </w:rPr>
        <w:t>. Лицензиатом может быть индивидуальный предприниматель или юридическое лицо представляющие собой управляющую организацию.</w:t>
      </w:r>
    </w:p>
    <w:p w14:paraId="260CA57C" w14:textId="77777777" w:rsidR="00575A86" w:rsidRDefault="00575A86" w:rsidP="00575A86">
      <w:pPr>
        <w:pStyle w:val="ConsPlusNormal"/>
        <w:ind w:firstLine="851"/>
        <w:jc w:val="both"/>
        <w:rPr>
          <w:lang w:val="ru-RU"/>
        </w:rPr>
      </w:pPr>
      <w:r>
        <w:rPr>
          <w:lang w:val="ru-RU"/>
        </w:rPr>
        <w:t>Определив круг субъектов, перейдем к рассмотрению порядка выдачи лицензии. Так, для получения разрешения на осуществление данного вида предпринимательской деятельности, соискателю лицензии необходимо направить заявление о предоставлении лицензии в орган государственного жилищного надзора субъекта РФ. В своем заявлении лицензиат должен указать все необходимые сведения, соответствующие лицензионным требованиям, которые закрепленны в нормативно-правовых актах упомянутых выше. После принятия заявления к рассмотрению, лицензирующий орган осуществляет проверку сведений, указанных соискателем лицензии на достоверность и полноту. В результате проверки лицензионной комиссией принимается решение о предоставлении или же об отказе в выдаче разрешения на осуществление деятельности по управлению многоквартирными домами.</w:t>
      </w:r>
    </w:p>
    <w:p w14:paraId="4E35541F" w14:textId="77777777" w:rsidR="00575A86" w:rsidRDefault="00575A86" w:rsidP="00575A86">
      <w:pPr>
        <w:pStyle w:val="ConsPlusNormal"/>
        <w:ind w:firstLine="851"/>
        <w:jc w:val="both"/>
        <w:rPr>
          <w:lang w:val="ru-RU"/>
        </w:rPr>
      </w:pPr>
      <w:r>
        <w:rPr>
          <w:lang w:val="ru-RU"/>
        </w:rPr>
        <w:t>Существуют специальные реестры, которые содержат сведения о лицензировании деятельности по управлению многоквартирными домами, а также о лицах, осуществляющих или осуществлявших указанный род деятельности. Так, есть три вида реестров: реестр лицензий субъекта РФ, сводный федеральный реестр лицензий по осуществлению предпринимательской деятельности по управлению многоквартирным домом и реестр лиц, лицензия которых аннулирована. Стоит отметить, что упомянутое выше деление реестров, способствует более эффективному и более качественному упорядочению информации о лицах, осуществляющих данный вид деятельности, а также разграничение ведения на федеральном и региональном уровне. Необходимо добавить, что все сведения, содержащиеся в данных реестрах, являются общедоступными, а именно гарантируют «прозрачность» деятельности управляющей организации</w:t>
      </w:r>
      <w:r>
        <w:rPr>
          <w:rStyle w:val="a7"/>
          <w:lang w:val="ru-RU"/>
        </w:rPr>
        <w:footnoteReference w:id="39"/>
      </w:r>
      <w:r>
        <w:rPr>
          <w:lang w:val="ru-RU"/>
        </w:rPr>
        <w:t xml:space="preserve">. </w:t>
      </w:r>
    </w:p>
    <w:p w14:paraId="6EE90D70" w14:textId="77777777" w:rsidR="00575A86" w:rsidRDefault="00575A86" w:rsidP="00575A86">
      <w:pPr>
        <w:pStyle w:val="ConsPlusNormal"/>
        <w:ind w:firstLine="851"/>
        <w:jc w:val="both"/>
        <w:rPr>
          <w:lang w:val="ru-RU"/>
        </w:rPr>
      </w:pPr>
      <w:r>
        <w:rPr>
          <w:lang w:val="ru-RU"/>
        </w:rPr>
        <w:t>Особое место занимает лицензионный контроль, который осуществляется лицензирующим органом. Так, о</w:t>
      </w:r>
      <w:r w:rsidRPr="00CC5F42">
        <w:rPr>
          <w:lang w:val="ru-RU"/>
        </w:rPr>
        <w:t>рганы государственной власти Российской Федерации</w:t>
      </w:r>
      <w:r>
        <w:rPr>
          <w:lang w:val="ru-RU"/>
        </w:rPr>
        <w:t xml:space="preserve"> </w:t>
      </w:r>
      <w:r w:rsidRPr="00CC5F42">
        <w:rPr>
          <w:lang w:val="ru-RU"/>
        </w:rPr>
        <w:t xml:space="preserve">вправе вносить в законы учредителей субъектов Российской Федерации уполномоченные органы </w:t>
      </w:r>
      <w:r w:rsidRPr="00CC5F42">
        <w:rPr>
          <w:lang w:val="ru-RU"/>
        </w:rPr>
        <w:lastRenderedPageBreak/>
        <w:t>местного самоуправления, обладающие особыми полномочиями для проведения проверок при осуществлении лицензионного контроля в отношении юридических лиц или индивидуальных предпринимателей, которые занимаются управлением многоквартирными домами на основании лицензии.</w:t>
      </w:r>
      <w:r>
        <w:rPr>
          <w:lang w:val="ru-RU"/>
        </w:rPr>
        <w:t xml:space="preserve"> Лицензионный контроль осуществляется путем плановых и внеплановых проверок. Данная деятельность лицензирующего органа способствует предупреждению, выявлению и пресечению нарушений управляющей организации</w:t>
      </w:r>
      <w:r>
        <w:rPr>
          <w:rStyle w:val="a7"/>
          <w:lang w:val="ru-RU"/>
        </w:rPr>
        <w:footnoteReference w:id="40"/>
      </w:r>
      <w:r>
        <w:rPr>
          <w:lang w:val="ru-RU"/>
        </w:rPr>
        <w:t xml:space="preserve">. </w:t>
      </w:r>
    </w:p>
    <w:p w14:paraId="7DB57C44" w14:textId="77777777" w:rsidR="00575A86" w:rsidRDefault="00575A86" w:rsidP="00575A86">
      <w:pPr>
        <w:pStyle w:val="ConsPlusNormal"/>
        <w:ind w:firstLine="851"/>
        <w:jc w:val="both"/>
        <w:rPr>
          <w:lang w:val="ru-RU"/>
        </w:rPr>
      </w:pPr>
      <w:r>
        <w:rPr>
          <w:lang w:val="ru-RU"/>
        </w:rPr>
        <w:t xml:space="preserve">Аннулирование лицензии и прекращение ее действия осуществляется по решению суда. В принятии своего решения суд основывается на заявлении органа государственного жилищного надзора по решению лицензионной комиссии об аннулировании лицензии. Способствовать данным негативным последствиям для управляющей организации могут грубые нарушения норм законодательства в данной сфере, признание лицензиата банкротом, а также уклонение от проверок лицензирующего органа. </w:t>
      </w:r>
    </w:p>
    <w:p w14:paraId="366D4333" w14:textId="77777777" w:rsidR="00575A86" w:rsidRDefault="00575A86" w:rsidP="00575A86">
      <w:pPr>
        <w:pStyle w:val="ConsPlusNormal"/>
        <w:ind w:firstLine="851"/>
        <w:jc w:val="both"/>
        <w:rPr>
          <w:lang w:val="ru-RU"/>
        </w:rPr>
      </w:pPr>
      <w:r>
        <w:rPr>
          <w:lang w:val="ru-RU"/>
        </w:rPr>
        <w:t xml:space="preserve">Подведя итог, можно сделать вывод о том, что лицензия является правовым основанием деятельности по управлению многоквартирными домами. Лицензирование в данной сфере способствует эффективному и качественному выполнению своей работы управляющими организациями. Доступность сведений в специальных реестрах делает данный вид деятельности «прозрачным» для жильцов многоквартирных домов. Лицензионный контроль позволяет вовремя предупредить, выявить и пресечь правонарушения по управлению многоквартирными домами. </w:t>
      </w:r>
    </w:p>
    <w:p w14:paraId="18B7D72B" w14:textId="77777777" w:rsidR="00575A86" w:rsidRDefault="00575A86" w:rsidP="00575A86">
      <w:pPr>
        <w:pStyle w:val="ConsPlusNormal"/>
        <w:ind w:firstLine="851"/>
        <w:jc w:val="both"/>
        <w:rPr>
          <w:lang w:val="ru-RU"/>
        </w:rPr>
      </w:pPr>
    </w:p>
    <w:p w14:paraId="5FC645B7" w14:textId="77777777" w:rsidR="00575A86" w:rsidRDefault="00575A86" w:rsidP="00575A86">
      <w:pPr>
        <w:pStyle w:val="ConsPlusNormal"/>
        <w:ind w:firstLine="851"/>
        <w:jc w:val="center"/>
        <w:rPr>
          <w:lang w:val="ru-RU"/>
        </w:rPr>
      </w:pPr>
      <w:r>
        <w:rPr>
          <w:lang w:val="ru-RU"/>
        </w:rPr>
        <w:t xml:space="preserve">Список литературы </w:t>
      </w:r>
    </w:p>
    <w:p w14:paraId="546D670E" w14:textId="77777777" w:rsidR="00575A86" w:rsidRPr="00E31BB6" w:rsidRDefault="00575A86" w:rsidP="00575A86">
      <w:pPr>
        <w:pStyle w:val="ConsPlusNormal"/>
        <w:ind w:firstLine="851"/>
        <w:jc w:val="center"/>
        <w:rPr>
          <w:lang w:val="ru-RU"/>
        </w:rPr>
      </w:pPr>
    </w:p>
    <w:p w14:paraId="04175B4E" w14:textId="77777777" w:rsidR="00575A86" w:rsidRPr="00BE13EE" w:rsidRDefault="00575A86" w:rsidP="00575A86">
      <w:pPr>
        <w:pStyle w:val="ConsPlusNormal"/>
        <w:numPr>
          <w:ilvl w:val="0"/>
          <w:numId w:val="59"/>
        </w:numPr>
        <w:ind w:left="0" w:firstLine="851"/>
        <w:jc w:val="both"/>
        <w:rPr>
          <w:lang w:val="ru-RU"/>
        </w:rPr>
      </w:pPr>
      <w:r w:rsidRPr="00BE13EE">
        <w:rPr>
          <w:rFonts w:eastAsia="Times New Roman"/>
          <w:color w:val="000000"/>
          <w:shd w:val="clear" w:color="auto" w:fill="FFFFFF"/>
          <w:lang w:val="ru-RU"/>
        </w:rPr>
        <w:t>Генцлер, И.В. Решит ли лицензирование проблемы управления многоквартирными домами / И.В. Генцлер, Д.П. Гордеев, С.Б. Сиваев // Управление многоквартирным домом. 2014. - №4.</w:t>
      </w:r>
    </w:p>
    <w:p w14:paraId="0F16834D" w14:textId="77777777" w:rsidR="00575A86" w:rsidRPr="00BE13EE" w:rsidRDefault="00575A86" w:rsidP="00575A86">
      <w:pPr>
        <w:pStyle w:val="ConsPlusNormal"/>
        <w:numPr>
          <w:ilvl w:val="0"/>
          <w:numId w:val="59"/>
        </w:numPr>
        <w:ind w:left="0" w:firstLine="851"/>
        <w:jc w:val="both"/>
        <w:rPr>
          <w:lang w:val="ru-RU"/>
        </w:rPr>
      </w:pPr>
      <w:r w:rsidRPr="00BE13EE">
        <w:rPr>
          <w:rFonts w:eastAsia="Times New Roman"/>
          <w:color w:val="000000"/>
          <w:shd w:val="clear" w:color="auto" w:fill="FFFFFF"/>
          <w:lang w:val="ru-RU"/>
        </w:rPr>
        <w:t>Емельянова Е. В. Поправки к ЖК РФ: лицензирование деятельности УК // Жилищно-коммунальное хозяйство: бухгалтерский учет и налогообложение. - 2014. - № 8</w:t>
      </w:r>
      <w:r>
        <w:rPr>
          <w:rFonts w:eastAsia="Times New Roman"/>
          <w:color w:val="000000"/>
          <w:shd w:val="clear" w:color="auto" w:fill="FFFFFF"/>
          <w:lang w:val="ru-RU"/>
        </w:rPr>
        <w:t>.</w:t>
      </w:r>
    </w:p>
    <w:p w14:paraId="6DB7CAC8" w14:textId="77777777" w:rsidR="00575A86" w:rsidRPr="00BE13EE" w:rsidRDefault="00575A86" w:rsidP="00575A86">
      <w:pPr>
        <w:pStyle w:val="ConsPlusNormal"/>
        <w:numPr>
          <w:ilvl w:val="0"/>
          <w:numId w:val="59"/>
        </w:numPr>
        <w:ind w:left="0" w:firstLine="851"/>
        <w:jc w:val="both"/>
        <w:rPr>
          <w:lang w:val="ru-RU"/>
        </w:rPr>
      </w:pPr>
      <w:r w:rsidRPr="00BE13EE">
        <w:rPr>
          <w:rFonts w:eastAsia="Times New Roman"/>
          <w:color w:val="000000"/>
          <w:shd w:val="clear" w:color="auto" w:fill="FFFFFF"/>
          <w:lang w:val="ru-RU"/>
        </w:rPr>
        <w:t xml:space="preserve">Маслей С. В. Лицензирование деятельности по управлению многоквартирными домами как форма государственного контроля за деятельностью управляющих организаций // Вестник ОмГУ. </w:t>
      </w:r>
      <w:r w:rsidRPr="00BE13EE">
        <w:rPr>
          <w:rFonts w:eastAsia="Times New Roman"/>
          <w:color w:val="000000"/>
          <w:shd w:val="clear" w:color="auto" w:fill="FFFFFF"/>
        </w:rPr>
        <w:t>Серия. Право. 2015. №2 (43)</w:t>
      </w:r>
      <w:r>
        <w:rPr>
          <w:rFonts w:eastAsia="Times New Roman"/>
          <w:color w:val="000000"/>
          <w:shd w:val="clear" w:color="auto" w:fill="FFFFFF"/>
          <w:lang w:val="ru-RU"/>
        </w:rPr>
        <w:t>.</w:t>
      </w:r>
    </w:p>
    <w:p w14:paraId="3EEB4222" w14:textId="77777777" w:rsidR="00575A86" w:rsidRDefault="00575A86" w:rsidP="00575A86">
      <w:pPr>
        <w:pStyle w:val="ConsPlusNormal"/>
        <w:numPr>
          <w:ilvl w:val="0"/>
          <w:numId w:val="59"/>
        </w:numPr>
        <w:ind w:left="0" w:firstLine="851"/>
        <w:jc w:val="both"/>
        <w:rPr>
          <w:lang w:val="ru-RU"/>
        </w:rPr>
      </w:pPr>
      <w:r w:rsidRPr="00BE13EE">
        <w:rPr>
          <w:lang w:val="ru-RU"/>
        </w:rPr>
        <w:t xml:space="preserve">Масленникова Л.В., Копыл Ю.В. Лицензирование деятельности управляющих организаций / Л.В. Масленникова, Ю.В. Копыл// Научный журнал КубГАУ. - 2015. - </w:t>
      </w:r>
      <w:r w:rsidRPr="00DB70BD">
        <w:t>No</w:t>
      </w:r>
      <w:r w:rsidRPr="00BE13EE">
        <w:rPr>
          <w:lang w:val="ru-RU"/>
        </w:rPr>
        <w:t xml:space="preserve"> 107(03).</w:t>
      </w:r>
    </w:p>
    <w:p w14:paraId="6254E658" w14:textId="77777777" w:rsidR="00575A86" w:rsidRDefault="00575A86" w:rsidP="00575A86">
      <w:pPr>
        <w:pStyle w:val="ConsPlusNormal"/>
        <w:spacing w:line="360" w:lineRule="auto"/>
        <w:ind w:firstLine="851"/>
        <w:jc w:val="both"/>
        <w:rPr>
          <w:lang w:val="ru-RU"/>
        </w:rPr>
      </w:pPr>
      <w:r>
        <w:rPr>
          <w:lang w:val="ru-RU"/>
        </w:rPr>
        <w:t xml:space="preserve"> </w:t>
      </w:r>
    </w:p>
    <w:p w14:paraId="6E15AF8F" w14:textId="77777777" w:rsidR="00575A86" w:rsidRDefault="00575A86" w:rsidP="00575A86">
      <w:pPr>
        <w:pStyle w:val="ConsPlusNormal"/>
        <w:spacing w:line="360" w:lineRule="auto"/>
        <w:ind w:firstLine="851"/>
        <w:jc w:val="both"/>
        <w:rPr>
          <w:lang w:val="ru-RU"/>
        </w:rPr>
      </w:pPr>
    </w:p>
    <w:p w14:paraId="50FCE8E0" w14:textId="77777777" w:rsidR="00575A86" w:rsidRPr="00D83C26" w:rsidRDefault="00575A86" w:rsidP="00575A86">
      <w:pPr>
        <w:pStyle w:val="ConsPlusNormal"/>
        <w:spacing w:line="360" w:lineRule="auto"/>
        <w:ind w:firstLine="851"/>
        <w:jc w:val="both"/>
        <w:rPr>
          <w:lang w:val="ru-RU"/>
        </w:rPr>
      </w:pPr>
    </w:p>
    <w:p w14:paraId="117EB0D2" w14:textId="77777777" w:rsidR="00575A86" w:rsidRPr="00D83C26" w:rsidRDefault="00575A86" w:rsidP="00575A86">
      <w:pPr>
        <w:pStyle w:val="ConsPlusNormal"/>
        <w:spacing w:line="360" w:lineRule="auto"/>
        <w:ind w:firstLine="851"/>
        <w:jc w:val="both"/>
        <w:rPr>
          <w:lang w:val="ru-RU" w:eastAsia="en-US"/>
        </w:rPr>
      </w:pPr>
    </w:p>
    <w:p w14:paraId="44521ACA" w14:textId="77777777" w:rsidR="00575A86" w:rsidRPr="00D83C26" w:rsidRDefault="00575A86" w:rsidP="00575A86">
      <w:pPr>
        <w:pStyle w:val="ConsPlusNormal"/>
        <w:ind w:firstLine="851"/>
        <w:jc w:val="both"/>
        <w:rPr>
          <w:lang w:val="ru-RU" w:eastAsia="en-US"/>
        </w:rPr>
      </w:pPr>
    </w:p>
    <w:p w14:paraId="38EB463E" w14:textId="77777777" w:rsidR="00575A86" w:rsidRDefault="00575A86" w:rsidP="001B6C3B">
      <w:pPr>
        <w:spacing w:after="0" w:line="240" w:lineRule="auto"/>
        <w:ind w:left="5387"/>
        <w:jc w:val="both"/>
        <w:rPr>
          <w:rFonts w:ascii="Times New Roman" w:hAnsi="Times New Roman" w:cs="Times New Roman"/>
          <w:b/>
          <w:bCs/>
          <w:sz w:val="24"/>
          <w:szCs w:val="24"/>
        </w:rPr>
      </w:pPr>
    </w:p>
    <w:p w14:paraId="5A10BE01" w14:textId="77777777" w:rsidR="00575A86" w:rsidRDefault="00575A86" w:rsidP="001B6C3B">
      <w:pPr>
        <w:spacing w:after="0" w:line="240" w:lineRule="auto"/>
        <w:ind w:left="5387"/>
        <w:jc w:val="both"/>
        <w:rPr>
          <w:rFonts w:ascii="Times New Roman" w:hAnsi="Times New Roman" w:cs="Times New Roman"/>
          <w:b/>
          <w:bCs/>
          <w:sz w:val="24"/>
          <w:szCs w:val="24"/>
        </w:rPr>
      </w:pPr>
    </w:p>
    <w:p w14:paraId="36EA5481" w14:textId="77777777" w:rsidR="00575A86" w:rsidRDefault="00575A86" w:rsidP="001B6C3B">
      <w:pPr>
        <w:spacing w:after="0" w:line="240" w:lineRule="auto"/>
        <w:ind w:left="5387"/>
        <w:jc w:val="both"/>
        <w:rPr>
          <w:rFonts w:ascii="Times New Roman" w:hAnsi="Times New Roman" w:cs="Times New Roman"/>
          <w:b/>
          <w:bCs/>
          <w:sz w:val="24"/>
          <w:szCs w:val="24"/>
        </w:rPr>
      </w:pPr>
    </w:p>
    <w:p w14:paraId="072AEF60" w14:textId="77777777" w:rsidR="00575A86" w:rsidRDefault="00575A86" w:rsidP="001B6C3B">
      <w:pPr>
        <w:spacing w:after="0" w:line="240" w:lineRule="auto"/>
        <w:ind w:left="5387"/>
        <w:jc w:val="both"/>
        <w:rPr>
          <w:rFonts w:ascii="Times New Roman" w:hAnsi="Times New Roman" w:cs="Times New Roman"/>
          <w:b/>
          <w:bCs/>
          <w:sz w:val="24"/>
          <w:szCs w:val="24"/>
        </w:rPr>
      </w:pPr>
    </w:p>
    <w:p w14:paraId="1EDF220A" w14:textId="77777777" w:rsidR="00575A86" w:rsidRDefault="00575A86" w:rsidP="001B6C3B">
      <w:pPr>
        <w:spacing w:after="0" w:line="240" w:lineRule="auto"/>
        <w:ind w:left="5387"/>
        <w:jc w:val="both"/>
        <w:rPr>
          <w:rFonts w:ascii="Times New Roman" w:hAnsi="Times New Roman" w:cs="Times New Roman"/>
          <w:b/>
          <w:bCs/>
          <w:sz w:val="24"/>
          <w:szCs w:val="24"/>
        </w:rPr>
      </w:pPr>
    </w:p>
    <w:p w14:paraId="65811587" w14:textId="77777777" w:rsidR="00575A86" w:rsidRDefault="00575A86" w:rsidP="001B6C3B">
      <w:pPr>
        <w:spacing w:after="0" w:line="240" w:lineRule="auto"/>
        <w:ind w:left="5387"/>
        <w:jc w:val="both"/>
        <w:rPr>
          <w:rFonts w:ascii="Times New Roman" w:hAnsi="Times New Roman" w:cs="Times New Roman"/>
          <w:b/>
          <w:bCs/>
          <w:sz w:val="24"/>
          <w:szCs w:val="24"/>
        </w:rPr>
      </w:pPr>
    </w:p>
    <w:p w14:paraId="0AF3DA88" w14:textId="77777777" w:rsidR="00575A86" w:rsidRDefault="00575A86" w:rsidP="001B6C3B">
      <w:pPr>
        <w:spacing w:after="0" w:line="240" w:lineRule="auto"/>
        <w:ind w:left="5387"/>
        <w:jc w:val="both"/>
        <w:rPr>
          <w:rFonts w:ascii="Times New Roman" w:hAnsi="Times New Roman" w:cs="Times New Roman"/>
          <w:b/>
          <w:bCs/>
          <w:sz w:val="24"/>
          <w:szCs w:val="24"/>
        </w:rPr>
      </w:pPr>
    </w:p>
    <w:p w14:paraId="366828A3" w14:textId="2423C2C6" w:rsidR="001B6C3B" w:rsidRDefault="001B6C3B" w:rsidP="001B6C3B">
      <w:pPr>
        <w:spacing w:after="0" w:line="240" w:lineRule="auto"/>
        <w:ind w:left="5387"/>
        <w:jc w:val="both"/>
        <w:rPr>
          <w:rFonts w:ascii="Times New Roman" w:hAnsi="Times New Roman" w:cs="Times New Roman"/>
          <w:b/>
          <w:bCs/>
          <w:sz w:val="24"/>
          <w:szCs w:val="24"/>
        </w:rPr>
      </w:pPr>
      <w:r>
        <w:rPr>
          <w:rFonts w:ascii="Times New Roman" w:hAnsi="Times New Roman" w:cs="Times New Roman"/>
          <w:b/>
          <w:bCs/>
          <w:sz w:val="24"/>
          <w:szCs w:val="24"/>
        </w:rPr>
        <w:lastRenderedPageBreak/>
        <w:t>УДК 347.19</w:t>
      </w:r>
    </w:p>
    <w:p w14:paraId="54EBCD08" w14:textId="77777777" w:rsidR="001B6C3B" w:rsidRDefault="001B6C3B" w:rsidP="001B6C3B">
      <w:pPr>
        <w:spacing w:after="0" w:line="240" w:lineRule="auto"/>
        <w:ind w:left="5387"/>
        <w:jc w:val="both"/>
        <w:rPr>
          <w:rFonts w:ascii="Times New Roman" w:hAnsi="Times New Roman" w:cs="Times New Roman"/>
          <w:sz w:val="24"/>
          <w:szCs w:val="24"/>
        </w:rPr>
      </w:pPr>
    </w:p>
    <w:p w14:paraId="7525813F" w14:textId="77777777" w:rsidR="001B6C3B" w:rsidRDefault="001B6C3B" w:rsidP="001B6C3B">
      <w:pPr>
        <w:spacing w:after="0" w:line="240" w:lineRule="auto"/>
        <w:ind w:left="5387"/>
        <w:jc w:val="both"/>
        <w:rPr>
          <w:rFonts w:ascii="Times New Roman" w:hAnsi="Times New Roman" w:cs="Times New Roman"/>
          <w:sz w:val="24"/>
          <w:szCs w:val="24"/>
        </w:rPr>
      </w:pPr>
      <w:r>
        <w:rPr>
          <w:rFonts w:ascii="Times New Roman" w:hAnsi="Times New Roman" w:cs="Times New Roman"/>
          <w:sz w:val="24"/>
          <w:szCs w:val="24"/>
        </w:rPr>
        <w:t>Багирова Эльмира Рафиковна</w:t>
      </w:r>
    </w:p>
    <w:p w14:paraId="3ADC49D2" w14:textId="77777777" w:rsidR="001B6C3B" w:rsidRDefault="001B6C3B" w:rsidP="001B6C3B">
      <w:pPr>
        <w:pStyle w:val="aa"/>
        <w:spacing w:before="0" w:beforeAutospacing="0" w:after="0" w:afterAutospacing="0"/>
        <w:ind w:left="5387"/>
        <w:jc w:val="both"/>
      </w:pPr>
      <w:bookmarkStart w:id="13" w:name="_gjdgxs"/>
      <w:bookmarkEnd w:id="13"/>
      <w:r>
        <w:t>Bagirova Elmira Rafikovna</w:t>
      </w:r>
    </w:p>
    <w:p w14:paraId="3008C18D" w14:textId="77777777" w:rsidR="001B6C3B" w:rsidRDefault="001B6C3B" w:rsidP="001B6C3B">
      <w:pPr>
        <w:pStyle w:val="aa"/>
        <w:spacing w:before="0" w:beforeAutospacing="0" w:after="0" w:afterAutospacing="0"/>
        <w:ind w:left="5387"/>
        <w:jc w:val="both"/>
      </w:pPr>
      <w:r>
        <w:t>Федеральное государственное бюджетное</w:t>
      </w:r>
    </w:p>
    <w:p w14:paraId="5AF603E8" w14:textId="77777777" w:rsidR="001B6C3B" w:rsidRDefault="001B6C3B" w:rsidP="001B6C3B">
      <w:pPr>
        <w:pStyle w:val="aa"/>
        <w:spacing w:before="0" w:beforeAutospacing="0" w:after="0" w:afterAutospacing="0"/>
        <w:ind w:left="5387"/>
        <w:jc w:val="both"/>
      </w:pPr>
      <w:r>
        <w:t xml:space="preserve">образовательное учреждение высшего образования </w:t>
      </w:r>
    </w:p>
    <w:p w14:paraId="2B00B246" w14:textId="77777777" w:rsidR="001B6C3B" w:rsidRDefault="001B6C3B" w:rsidP="001B6C3B">
      <w:pPr>
        <w:pStyle w:val="aa"/>
        <w:spacing w:before="0" w:beforeAutospacing="0" w:after="0" w:afterAutospacing="0"/>
        <w:ind w:left="5387"/>
        <w:jc w:val="both"/>
      </w:pPr>
      <w:r>
        <w:t>«Кубанский государственный аграрный университет</w:t>
      </w:r>
    </w:p>
    <w:p w14:paraId="54C3FCD9" w14:textId="77777777" w:rsidR="001B6C3B" w:rsidRDefault="001B6C3B" w:rsidP="001B6C3B">
      <w:pPr>
        <w:pStyle w:val="aa"/>
        <w:spacing w:before="0" w:beforeAutospacing="0" w:after="0" w:afterAutospacing="0"/>
        <w:ind w:left="5387"/>
        <w:jc w:val="both"/>
      </w:pPr>
      <w:r>
        <w:t>имени И.Т. Трубилина»</w:t>
      </w:r>
    </w:p>
    <w:p w14:paraId="7DC7ED5D" w14:textId="77777777" w:rsidR="001B6C3B" w:rsidRDefault="001B6C3B" w:rsidP="001B6C3B">
      <w:pPr>
        <w:pStyle w:val="aa"/>
        <w:spacing w:before="0" w:beforeAutospacing="0" w:after="0" w:afterAutospacing="0"/>
        <w:ind w:left="5387"/>
        <w:jc w:val="both"/>
        <w:rPr>
          <w:lang w:val="en-US"/>
        </w:rPr>
      </w:pPr>
      <w:r>
        <w:rPr>
          <w:lang w:val="en-US"/>
        </w:rPr>
        <w:t>Federal State Budgetary</w:t>
      </w:r>
    </w:p>
    <w:p w14:paraId="79EA157F" w14:textId="77777777" w:rsidR="001B6C3B" w:rsidRDefault="001B6C3B" w:rsidP="001B6C3B">
      <w:pPr>
        <w:pStyle w:val="aa"/>
        <w:spacing w:before="0" w:beforeAutospacing="0" w:after="0" w:afterAutospacing="0"/>
        <w:ind w:left="5387"/>
        <w:jc w:val="both"/>
        <w:rPr>
          <w:lang w:val="en-US"/>
        </w:rPr>
      </w:pPr>
      <w:r>
        <w:rPr>
          <w:lang w:val="en-US"/>
        </w:rPr>
        <w:t>Educational Institution of Higher Education</w:t>
      </w:r>
    </w:p>
    <w:p w14:paraId="2447AE23" w14:textId="77777777" w:rsidR="001B6C3B" w:rsidRDefault="001B6C3B" w:rsidP="001B6C3B">
      <w:pPr>
        <w:pStyle w:val="aa"/>
        <w:spacing w:before="0" w:beforeAutospacing="0" w:after="0" w:afterAutospacing="0"/>
        <w:ind w:left="5387"/>
        <w:jc w:val="both"/>
        <w:rPr>
          <w:lang w:val="en-US"/>
        </w:rPr>
      </w:pPr>
      <w:r>
        <w:rPr>
          <w:lang w:val="en-US"/>
        </w:rPr>
        <w:t>«Kuban State Agrarian University</w:t>
      </w:r>
    </w:p>
    <w:p w14:paraId="6CF03813" w14:textId="77777777" w:rsidR="001B6C3B" w:rsidRDefault="001B6C3B" w:rsidP="001B6C3B">
      <w:pPr>
        <w:pStyle w:val="aa"/>
        <w:spacing w:before="0" w:beforeAutospacing="0" w:after="0" w:afterAutospacing="0"/>
        <w:ind w:left="5387"/>
        <w:jc w:val="both"/>
        <w:rPr>
          <w:lang w:val="en-US"/>
        </w:rPr>
      </w:pPr>
      <w:r>
        <w:rPr>
          <w:lang w:val="en-US"/>
        </w:rPr>
        <w:t>named after I.T. Trubilin‖</w:t>
      </w:r>
    </w:p>
    <w:p w14:paraId="56A4160E" w14:textId="77777777" w:rsidR="001B6C3B" w:rsidRDefault="001B6C3B" w:rsidP="001B6C3B">
      <w:pPr>
        <w:pStyle w:val="aa"/>
        <w:spacing w:before="0" w:beforeAutospacing="0" w:after="0" w:afterAutospacing="0"/>
        <w:ind w:left="5387"/>
        <w:jc w:val="both"/>
        <w:rPr>
          <w:lang w:val="en-US"/>
        </w:rPr>
      </w:pPr>
      <w:r>
        <w:t>России</w:t>
      </w:r>
      <w:r>
        <w:rPr>
          <w:lang w:val="en-US"/>
        </w:rPr>
        <w:t>̆</w:t>
      </w:r>
      <w:r>
        <w:t>ская</w:t>
      </w:r>
      <w:r>
        <w:rPr>
          <w:lang w:val="en-US"/>
        </w:rPr>
        <w:t xml:space="preserve"> </w:t>
      </w:r>
      <w:r>
        <w:t>Федерация</w:t>
      </w:r>
      <w:r>
        <w:rPr>
          <w:lang w:val="en-US"/>
        </w:rPr>
        <w:t xml:space="preserve">, </w:t>
      </w:r>
      <w:r>
        <w:t>г</w:t>
      </w:r>
      <w:r>
        <w:rPr>
          <w:lang w:val="en-US"/>
        </w:rPr>
        <w:t xml:space="preserve">. </w:t>
      </w:r>
      <w:r>
        <w:t>Краснодар</w:t>
      </w:r>
    </w:p>
    <w:p w14:paraId="6FEEF950" w14:textId="77777777" w:rsidR="001B6C3B" w:rsidRDefault="001B6C3B" w:rsidP="001B6C3B">
      <w:pPr>
        <w:pStyle w:val="aa"/>
        <w:spacing w:before="0" w:beforeAutospacing="0" w:after="0" w:afterAutospacing="0"/>
        <w:ind w:left="5387"/>
        <w:jc w:val="both"/>
        <w:rPr>
          <w:lang w:val="en-US"/>
        </w:rPr>
      </w:pPr>
      <w:r>
        <w:rPr>
          <w:lang w:val="en-US"/>
        </w:rPr>
        <w:t>Russian Federation, Krasnodar</w:t>
      </w:r>
    </w:p>
    <w:p w14:paraId="3DDF7749" w14:textId="77777777" w:rsidR="001B6C3B" w:rsidRDefault="001B6C3B" w:rsidP="001B6C3B">
      <w:pPr>
        <w:pStyle w:val="aa"/>
        <w:spacing w:before="0" w:beforeAutospacing="0" w:after="0" w:afterAutospacing="0"/>
        <w:ind w:left="5387"/>
        <w:jc w:val="both"/>
        <w:rPr>
          <w:lang w:val="en-US"/>
        </w:rPr>
      </w:pPr>
    </w:p>
    <w:p w14:paraId="40F003DC" w14:textId="77777777" w:rsidR="001B6C3B" w:rsidRDefault="001B6C3B" w:rsidP="001B6C3B">
      <w:pPr>
        <w:spacing w:after="0" w:line="240" w:lineRule="auto"/>
        <w:ind w:left="5387"/>
        <w:jc w:val="both"/>
        <w:rPr>
          <w:rFonts w:ascii="Times New Roman" w:hAnsi="Times New Roman" w:cs="Times New Roman"/>
          <w:sz w:val="24"/>
          <w:szCs w:val="24"/>
        </w:rPr>
      </w:pPr>
      <w:r>
        <w:rPr>
          <w:rFonts w:ascii="Times New Roman" w:hAnsi="Times New Roman" w:cs="Times New Roman"/>
          <w:sz w:val="24"/>
          <w:szCs w:val="24"/>
        </w:rPr>
        <w:t>Кончаков Александр Борисович</w:t>
      </w:r>
    </w:p>
    <w:p w14:paraId="52D0EEAE" w14:textId="77777777" w:rsidR="001B6C3B" w:rsidRDefault="001B6C3B" w:rsidP="001B6C3B">
      <w:pPr>
        <w:spacing w:after="0" w:line="240" w:lineRule="auto"/>
        <w:ind w:left="5387"/>
        <w:jc w:val="both"/>
        <w:rPr>
          <w:rFonts w:ascii="Times New Roman" w:hAnsi="Times New Roman" w:cs="Times New Roman"/>
          <w:sz w:val="24"/>
          <w:szCs w:val="24"/>
        </w:rPr>
      </w:pPr>
      <w:r>
        <w:rPr>
          <w:rFonts w:ascii="Times New Roman" w:hAnsi="Times New Roman" w:cs="Times New Roman"/>
          <w:sz w:val="24"/>
          <w:szCs w:val="24"/>
        </w:rPr>
        <w:t>Преподаватель</w:t>
      </w:r>
    </w:p>
    <w:p w14:paraId="3461684C" w14:textId="77777777" w:rsidR="001B6C3B" w:rsidRDefault="001B6C3B" w:rsidP="001B6C3B">
      <w:pPr>
        <w:pStyle w:val="aa"/>
        <w:spacing w:before="0" w:beforeAutospacing="0" w:after="0" w:afterAutospacing="0"/>
        <w:ind w:firstLine="709"/>
        <w:jc w:val="both"/>
      </w:pPr>
    </w:p>
    <w:p w14:paraId="17EAF258" w14:textId="77777777" w:rsidR="001B6C3B" w:rsidRDefault="001B6C3B" w:rsidP="001B6C3B">
      <w:pPr>
        <w:spacing w:after="0" w:line="240" w:lineRule="auto"/>
        <w:ind w:firstLine="709"/>
        <w:jc w:val="center"/>
        <w:rPr>
          <w:rFonts w:ascii="Times New Roman" w:hAnsi="Times New Roman" w:cs="Times New Roman"/>
          <w:b/>
          <w:bCs/>
          <w:sz w:val="24"/>
          <w:szCs w:val="24"/>
        </w:rPr>
      </w:pPr>
      <w:r>
        <w:rPr>
          <w:rFonts w:ascii="Times New Roman" w:hAnsi="Times New Roman" w:cs="Times New Roman"/>
          <w:b/>
          <w:bCs/>
          <w:sz w:val="24"/>
          <w:szCs w:val="24"/>
        </w:rPr>
        <w:t>ПУБЛИЧНО-ПРАВОВЫЕ ОБРАЗОВАНИЯ КАК УЧАСТНИКИ ГРАЖДАНСКИХ ПРАВООТНОШЕНИЙ</w:t>
      </w:r>
    </w:p>
    <w:p w14:paraId="2B5FDF6E" w14:textId="77777777" w:rsidR="001B6C3B" w:rsidRDefault="001B6C3B" w:rsidP="001B6C3B">
      <w:pPr>
        <w:spacing w:after="0" w:line="240" w:lineRule="auto"/>
        <w:ind w:firstLine="709"/>
        <w:jc w:val="center"/>
        <w:rPr>
          <w:rFonts w:ascii="Times New Roman" w:hAnsi="Times New Roman" w:cs="Times New Roman"/>
          <w:b/>
          <w:bCs/>
          <w:sz w:val="24"/>
          <w:szCs w:val="24"/>
        </w:rPr>
      </w:pPr>
    </w:p>
    <w:p w14:paraId="180B410D" w14:textId="77777777" w:rsidR="001B6C3B" w:rsidRDefault="001B6C3B" w:rsidP="001B6C3B">
      <w:pPr>
        <w:spacing w:after="0" w:line="240" w:lineRule="auto"/>
        <w:ind w:firstLine="709"/>
        <w:jc w:val="center"/>
        <w:rPr>
          <w:rFonts w:ascii="Times New Roman" w:hAnsi="Times New Roman" w:cs="Times New Roman"/>
          <w:b/>
          <w:bCs/>
          <w:sz w:val="24"/>
          <w:szCs w:val="24"/>
          <w:lang w:val="en-US"/>
        </w:rPr>
      </w:pPr>
      <w:r>
        <w:rPr>
          <w:rFonts w:ascii="Times New Roman" w:hAnsi="Times New Roman" w:cs="Times New Roman"/>
          <w:b/>
          <w:bCs/>
          <w:sz w:val="24"/>
          <w:szCs w:val="24"/>
          <w:lang w:val="en-US"/>
        </w:rPr>
        <w:t>PUBLIC LEGAL EDUCATIONS AS PARTICIPANTS OF CIVIL LEGAL RELATIONS</w:t>
      </w:r>
    </w:p>
    <w:p w14:paraId="02CB4B25" w14:textId="77777777" w:rsidR="001B6C3B" w:rsidRDefault="001B6C3B" w:rsidP="001B6C3B">
      <w:pPr>
        <w:spacing w:after="0" w:line="240" w:lineRule="auto"/>
        <w:ind w:firstLine="709"/>
        <w:jc w:val="both"/>
        <w:rPr>
          <w:rFonts w:ascii="Times New Roman" w:hAnsi="Times New Roman" w:cs="Times New Roman"/>
          <w:b/>
          <w:bCs/>
          <w:sz w:val="24"/>
          <w:szCs w:val="24"/>
          <w:lang w:val="en-US"/>
        </w:rPr>
      </w:pPr>
    </w:p>
    <w:p w14:paraId="4C0E7F7D"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Аннотация: В научной работе авторы рассматривают публично-правовые образования в качестве участников гражданских правоотношений. Авторы определяют необходимость публично-правовых образований вступать в гражданские правоотношения. Проанализирована норма статьи 124 Гражданского кодекса РФ, содержащая положения о публично-правовых образованиях как о субъектах российского гражданского права. Дается характеристика и указывается нормативное закрепление правового статуса отдельных видов публично-правовых образований. Авторы уделяют внимание рассмотрению вопроса правоспособности публично-правовых образований. Также рассмотрен интерес, как побудитель на вступление в правоотношение. Проведено сравнение с иными видами участников гражданских правоотношений. Произведены выводы. Дана характеристика публично-правового образования как участника гражданских правоотношений на основании данных, полученных в результате исследования.</w:t>
      </w:r>
    </w:p>
    <w:p w14:paraId="633DCF54" w14:textId="77777777" w:rsidR="001B6C3B" w:rsidRDefault="001B6C3B" w:rsidP="001B6C3B">
      <w:pPr>
        <w:spacing w:after="0" w:line="240" w:lineRule="auto"/>
        <w:ind w:firstLine="709"/>
        <w:jc w:val="both"/>
        <w:rPr>
          <w:rFonts w:ascii="Times New Roman" w:hAnsi="Times New Roman" w:cs="Times New Roman"/>
          <w:sz w:val="24"/>
          <w:szCs w:val="24"/>
          <w:lang w:val="en-US"/>
        </w:rPr>
      </w:pPr>
      <w:r>
        <w:rPr>
          <w:rFonts w:ascii="Times New Roman" w:hAnsi="Times New Roman" w:cs="Times New Roman"/>
          <w:sz w:val="24"/>
          <w:szCs w:val="24"/>
          <w:lang w:val="en-US"/>
        </w:rPr>
        <w:t>Abstract: In the scientific work, the authors consider public law entities as participants in civil relations. The authors determine the need for public law entities to enter into civil relations. The article analyzes the norm of article 124 of the Civil Code of the Russian Federation, containing provisions on public law entities as subjects of Russian civil law. The characteristic is given and the normative consolidation of the legal status of certain types of public law entities is indicated. The authors pay attention to the consideration of the legal capacity of public law entities. Interest is also considered as an incentive to enter into a legal relationship. A comparison is made with other types of participants in civil relations. The conclusions are drawn. The characteristic of public law education as a participant in civil relations based on data obtained as a result of the study is given.</w:t>
      </w:r>
    </w:p>
    <w:p w14:paraId="5547B017" w14:textId="77777777" w:rsidR="001B6C3B" w:rsidRDefault="001B6C3B" w:rsidP="001B6C3B">
      <w:pPr>
        <w:spacing w:after="0" w:line="240" w:lineRule="auto"/>
        <w:ind w:firstLine="709"/>
        <w:jc w:val="both"/>
        <w:rPr>
          <w:rFonts w:ascii="Times New Roman" w:hAnsi="Times New Roman" w:cs="Times New Roman"/>
          <w:sz w:val="24"/>
          <w:szCs w:val="24"/>
          <w:lang w:val="en-US"/>
        </w:rPr>
      </w:pPr>
    </w:p>
    <w:p w14:paraId="3A3B55BF"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Ключевые слова: публично правовое образование, государство, Россия, Российская федерация, субъект российской федерации, муниципальное образование, гражданское правоотношение, субъекты гражданского права, интерес, правоспособность. </w:t>
      </w:r>
    </w:p>
    <w:p w14:paraId="11554FBD" w14:textId="77777777" w:rsidR="001B6C3B" w:rsidRDefault="001B6C3B" w:rsidP="001B6C3B">
      <w:pPr>
        <w:spacing w:after="0" w:line="240" w:lineRule="auto"/>
        <w:ind w:firstLine="709"/>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Keywords: public legal education, state, Russia, Russian Federation, subject of the Russian Federation, municipality, civil legal relationship, subjects of civil law, interest, legal capacity.</w:t>
      </w:r>
    </w:p>
    <w:p w14:paraId="10E0C6DA" w14:textId="77777777" w:rsidR="001B6C3B" w:rsidRDefault="001B6C3B" w:rsidP="001B6C3B">
      <w:pPr>
        <w:spacing w:after="0" w:line="240" w:lineRule="auto"/>
        <w:ind w:firstLine="709"/>
        <w:jc w:val="both"/>
        <w:rPr>
          <w:rFonts w:ascii="Times New Roman" w:hAnsi="Times New Roman" w:cs="Times New Roman"/>
          <w:sz w:val="24"/>
          <w:szCs w:val="24"/>
          <w:lang w:val="en-US"/>
        </w:rPr>
      </w:pPr>
    </w:p>
    <w:p w14:paraId="1A394DB9"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Тема участия публично-правовых образований (далее – ППО) в качестве стороны гражданского правоотношения регулярно поднимается в трудах ученых-правоведов. Сам факт вступления ППО в гражданские правоотношения обусловлен необходимостью решать те или иные хозяйственные и организационные задачи на уровне РФ, ее субъектов и на уровне местного самоуправления. </w:t>
      </w:r>
    </w:p>
    <w:p w14:paraId="23677259"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Возможность ППО выступать в качестве субъектов гражданского права предусмотрена нормой статьи 124 ГК РФ. К таким субъектам ГК относит саму РФ, субъекты РФ (согласно статье 65 Конституции РФ), а также административно-территориальные единицы, входящие в состав субъектов. Также, закон определяет, что, участвуя в гражданских правоотношениях, ППО обладают теми же правами, что и юридические лица в аналогичных правоотношениях, согласно ГК. </w:t>
      </w:r>
    </w:p>
    <w:p w14:paraId="529A8664"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Как и у прочих участников гражданских правоотношений, ППО обладают своим правовым статусом. </w:t>
      </w:r>
    </w:p>
    <w:p w14:paraId="0D227DCD"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Важно уточнить, что понятия «Российская Федерация», «Россия» и «государство» являются синонимичными. Законодательно правовой статус государства закрепляется в федеральном законодательстве, главенствующее место в котором, безусловно, занимает Конституция РФ. На ее основе принимаются Основные законы субъектов РФ (Конституции республик в составе РФ и Уставы в иных субъектах), которые и определяют правовой статус субъектов РФ. И третий вид ППО, завершающий список, установленный статьей 124 ГК, – муниципальные образования. Их правовой статус определен соответствующими Уставами муниципальных образований.  </w:t>
      </w:r>
    </w:p>
    <w:p w14:paraId="7F40E248"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Государство обладает полномочиями на создание, изменение или прекращение действия норм права, в том числе и гражданского. Однако, при его участии в гражданских правоотношениях, оно находится в равном положении с иными участниками данного правоотношения, а в месте с тем, должно в равно степени с другими соблюдать установленные правила. </w:t>
      </w:r>
    </w:p>
    <w:p w14:paraId="7735E8ED"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Помимо Конституции РФ, государственная правосубъектность определяется также и нормами бюджетного законодательства, в котором содержится перечень правоотношений, стороной в которых может выступать РФ. </w:t>
      </w:r>
    </w:p>
    <w:p w14:paraId="6A35C734"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Из приведенного выше следует вывод о том, что государство – уникальный вид участника гражданских правоотношений, поскольку оно независимо от любого другого субъекта права и полномочно устанавливать нормы, по которым будут действовать другие субъекты правоотношения. </w:t>
      </w:r>
    </w:p>
    <w:p w14:paraId="2C280084"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Также ряд авторов говорит о том, что одним из важнейших отличий государства от прочих участников гражданских правоотношений является разница в правоспосбности. Так, например только государство полномочно осуществлять денежную эмиссию, эмиссию ценных бумаг, только государству переходят права на выморочное имущество. Однако, вместе с этим, государство не может являться стороной в некоторых видах договоров, например, коммерческой концессии. В правовой доктрине в разное время теоретики по-разному называли правоспособность государства: универсальная</w:t>
      </w:r>
      <w:r>
        <w:rPr>
          <w:rStyle w:val="a7"/>
          <w:rFonts w:ascii="Times New Roman" w:hAnsi="Times New Roman" w:cs="Times New Roman"/>
          <w:sz w:val="24"/>
          <w:szCs w:val="24"/>
        </w:rPr>
        <w:footnoteReference w:id="41"/>
      </w:r>
      <w:r>
        <w:rPr>
          <w:rFonts w:ascii="Times New Roman" w:hAnsi="Times New Roman" w:cs="Times New Roman"/>
          <w:sz w:val="24"/>
          <w:szCs w:val="24"/>
        </w:rPr>
        <w:t>, неограниченная</w:t>
      </w:r>
      <w:r>
        <w:rPr>
          <w:rStyle w:val="a7"/>
          <w:rFonts w:ascii="Times New Roman" w:hAnsi="Times New Roman" w:cs="Times New Roman"/>
          <w:sz w:val="24"/>
          <w:szCs w:val="24"/>
        </w:rPr>
        <w:footnoteReference w:id="42"/>
      </w:r>
      <w:r>
        <w:rPr>
          <w:rFonts w:ascii="Times New Roman" w:hAnsi="Times New Roman" w:cs="Times New Roman"/>
          <w:sz w:val="24"/>
          <w:szCs w:val="24"/>
        </w:rPr>
        <w:t xml:space="preserve"> или специальная</w:t>
      </w:r>
      <w:r>
        <w:rPr>
          <w:rStyle w:val="a7"/>
          <w:rFonts w:ascii="Times New Roman" w:hAnsi="Times New Roman" w:cs="Times New Roman"/>
          <w:sz w:val="24"/>
          <w:szCs w:val="24"/>
        </w:rPr>
        <w:footnoteReference w:id="43"/>
      </w:r>
    </w:p>
    <w:p w14:paraId="15A88DA4"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На данном этапе развития цивилистической науки превалирует позиция о специальной правоспособности государства</w:t>
      </w:r>
      <w:r>
        <w:rPr>
          <w:rStyle w:val="a7"/>
          <w:rFonts w:ascii="Times New Roman" w:hAnsi="Times New Roman" w:cs="Times New Roman"/>
          <w:sz w:val="24"/>
          <w:szCs w:val="24"/>
        </w:rPr>
        <w:footnoteReference w:id="44"/>
      </w:r>
      <w:r>
        <w:rPr>
          <w:rFonts w:ascii="Times New Roman" w:hAnsi="Times New Roman" w:cs="Times New Roman"/>
          <w:sz w:val="24"/>
          <w:szCs w:val="24"/>
        </w:rPr>
        <w:t xml:space="preserve">. Этот вид правоспособности трактуется следующим образом: «государству принадлежат те права, и оно несет те обязанности, которые прямо (специально) </w:t>
      </w:r>
      <w:r>
        <w:rPr>
          <w:rFonts w:ascii="Times New Roman" w:hAnsi="Times New Roman" w:cs="Times New Roman"/>
          <w:sz w:val="24"/>
          <w:szCs w:val="24"/>
        </w:rPr>
        <w:lastRenderedPageBreak/>
        <w:t>предусмотрены законом». А в силу правотворческой функции государства, оно должно наделять себя лишь теми обязанностями, которые обусловлены конкретной общественной надобностью.</w:t>
      </w:r>
      <w:r>
        <w:rPr>
          <w:rStyle w:val="a7"/>
          <w:rFonts w:ascii="Times New Roman" w:hAnsi="Times New Roman" w:cs="Times New Roman"/>
          <w:sz w:val="24"/>
          <w:szCs w:val="24"/>
        </w:rPr>
        <w:footnoteReference w:id="45"/>
      </w:r>
    </w:p>
    <w:p w14:paraId="7E4E7D34"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Универсальная и неограниченная правоспособность государства в гражданских правоотношениях более сильно проявлялась в период существования СССР, когда государство более сильно вмешивалось в деятельность хозяйствующих субъектов. В угоду смены экономической обстановки, такая правоспособность утратила свой потенциал. </w:t>
      </w:r>
    </w:p>
    <w:p w14:paraId="24262FAD"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Характерное отличие ППО от иных участников гражданского оборота – интерес. В то время, как прочие участники преследуют личный интерес, у ППО интерес публичный. Публичный интерес ППО обусловлен обязанностью разрешать те или иные общественные задачи, согласно полномочиям ППО.</w:t>
      </w:r>
      <w:r>
        <w:rPr>
          <w:rStyle w:val="a7"/>
          <w:rFonts w:ascii="Times New Roman" w:hAnsi="Times New Roman" w:cs="Times New Roman"/>
          <w:sz w:val="24"/>
          <w:szCs w:val="24"/>
        </w:rPr>
        <w:footnoteReference w:id="46"/>
      </w:r>
      <w:r>
        <w:rPr>
          <w:rFonts w:ascii="Times New Roman" w:hAnsi="Times New Roman" w:cs="Times New Roman"/>
          <w:sz w:val="24"/>
          <w:szCs w:val="24"/>
        </w:rPr>
        <w:t xml:space="preserve"> </w:t>
      </w:r>
    </w:p>
    <w:p w14:paraId="67FFB605"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Следует заметить, что, отвечая публичным интересам, ППО используют частноправовые механизмы. Такую двойственность в своих работах отмечал А.А. Клячин</w:t>
      </w:r>
      <w:r>
        <w:rPr>
          <w:rStyle w:val="a7"/>
          <w:rFonts w:ascii="Times New Roman" w:hAnsi="Times New Roman" w:cs="Times New Roman"/>
          <w:sz w:val="24"/>
          <w:szCs w:val="24"/>
        </w:rPr>
        <w:footnoteReference w:id="47"/>
      </w:r>
      <w:r>
        <w:rPr>
          <w:rFonts w:ascii="Times New Roman" w:hAnsi="Times New Roman" w:cs="Times New Roman"/>
          <w:sz w:val="24"/>
          <w:szCs w:val="24"/>
        </w:rPr>
        <w:t>. Вместе с этим, Д.Н. Коршунов говорил об опосредованном удовлетворении публичных интересов государства способами, присущими частным интересам: путем создания унитарных предприятий, преследующих «частный интерес».</w:t>
      </w:r>
      <w:r>
        <w:rPr>
          <w:rStyle w:val="a7"/>
          <w:rFonts w:ascii="Times New Roman" w:hAnsi="Times New Roman" w:cs="Times New Roman"/>
          <w:sz w:val="24"/>
          <w:szCs w:val="24"/>
        </w:rPr>
        <w:footnoteReference w:id="48"/>
      </w:r>
      <w:r>
        <w:rPr>
          <w:rFonts w:ascii="Times New Roman" w:hAnsi="Times New Roman" w:cs="Times New Roman"/>
          <w:sz w:val="24"/>
          <w:szCs w:val="24"/>
        </w:rPr>
        <w:t xml:space="preserve"> </w:t>
      </w:r>
    </w:p>
    <w:p w14:paraId="57F6C42B"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Также в науке можно найти разграничение интересов, путем построения иерархии. Авторы утверждают, что публичный интерес первичен, поскольку его удовлетворение призвано обеспечить нормальное функционирование частных форм. В то же время, частный интерес отражает волю общества, порождающую публичный интерес ППО. Таким образом, частный интерес является частью публичного.  </w:t>
      </w:r>
    </w:p>
    <w:p w14:paraId="30D0841B"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М.Н. Марченко выделяет среди всех особенностей участия ППО в гражданских правоотношениях наличие у ППО публичных властных полномочий. Не имеет значения, субъектом какого из уровней иерархи органов публичной власти будет участником определенных гражданских правоотношений, этот субъект в любом случае будет способен закрепить внешне свою волю в нормативном правовом акте, который станет обязательным для всех, в том числе другой стороны отдельно взятых правоотношений.</w:t>
      </w:r>
      <w:r>
        <w:rPr>
          <w:rStyle w:val="a7"/>
          <w:rFonts w:ascii="Times New Roman" w:hAnsi="Times New Roman" w:cs="Times New Roman"/>
          <w:sz w:val="24"/>
          <w:szCs w:val="24"/>
        </w:rPr>
        <w:footnoteReference w:id="49"/>
      </w:r>
      <w:r>
        <w:rPr>
          <w:rFonts w:ascii="Times New Roman" w:hAnsi="Times New Roman" w:cs="Times New Roman"/>
          <w:sz w:val="24"/>
          <w:szCs w:val="24"/>
        </w:rPr>
        <w:t xml:space="preserve"> </w:t>
      </w:r>
    </w:p>
    <w:p w14:paraId="4A68DB85"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Главным отличием одного ППО от другого при рассмотрении это особенности будет объем властных полномочий. Если РФ имеет максимальную государственную власть среди прочих рассматриваемых, то субъекты РФ и муниципальные образования обладают лишь ограниченным набором полномочий государственной власти. Также важно отметить, что РФ и субъекты РФ имеют в своем составе органы судебной власти, в то время как муниципальная власть лишена этой прерогативы.</w:t>
      </w:r>
    </w:p>
    <w:p w14:paraId="33BA63BF"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юридической науке нередки споры о возможности отнесения того или иного ППО к юридическим лицам. Такую позицию поддерживают как отечественные, так и зарубежные теоретики, призывая разграничивать частные и публичные юридические лица. Благодаря этому дифференцированию нивелируется ряд проблем, связанных с определением статуса и порядка взаимодействия участников правоотношений, что отражается в работах Курбатова</w:t>
      </w:r>
      <w:r>
        <w:rPr>
          <w:rStyle w:val="a7"/>
          <w:rFonts w:ascii="Times New Roman" w:hAnsi="Times New Roman" w:cs="Times New Roman"/>
          <w:sz w:val="24"/>
          <w:szCs w:val="24"/>
        </w:rPr>
        <w:footnoteReference w:id="50"/>
      </w:r>
      <w:r>
        <w:rPr>
          <w:rFonts w:ascii="Times New Roman" w:hAnsi="Times New Roman" w:cs="Times New Roman"/>
          <w:sz w:val="24"/>
          <w:szCs w:val="24"/>
        </w:rPr>
        <w:t>, Пяткова</w:t>
      </w:r>
      <w:r>
        <w:rPr>
          <w:rStyle w:val="a7"/>
          <w:rFonts w:ascii="Times New Roman" w:hAnsi="Times New Roman" w:cs="Times New Roman"/>
          <w:sz w:val="24"/>
          <w:szCs w:val="24"/>
        </w:rPr>
        <w:footnoteReference w:id="51"/>
      </w:r>
      <w:r>
        <w:rPr>
          <w:rFonts w:ascii="Times New Roman" w:hAnsi="Times New Roman" w:cs="Times New Roman"/>
          <w:sz w:val="24"/>
          <w:szCs w:val="24"/>
        </w:rPr>
        <w:t xml:space="preserve"> и Ускова</w:t>
      </w:r>
      <w:r>
        <w:rPr>
          <w:rStyle w:val="a7"/>
          <w:rFonts w:ascii="Times New Roman" w:hAnsi="Times New Roman" w:cs="Times New Roman"/>
          <w:sz w:val="24"/>
          <w:szCs w:val="24"/>
        </w:rPr>
        <w:footnoteReference w:id="52"/>
      </w:r>
      <w:r>
        <w:rPr>
          <w:rFonts w:ascii="Times New Roman" w:hAnsi="Times New Roman" w:cs="Times New Roman"/>
          <w:sz w:val="24"/>
          <w:szCs w:val="24"/>
        </w:rPr>
        <w:t xml:space="preserve">. </w:t>
      </w:r>
    </w:p>
    <w:p w14:paraId="1091557B"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ППО и юридические лица в российском гражданском праве роднит тот факт, что и первые, и вторые являются фикцией. Безусловно, что при участии в гражданских правоотношениях они осуществляют те функции, которые предусмотрены законодательством. Однако, ППО изначально обладает правомочиями, которые ставят его выше любых других субъектов гражданского права в угоду того, что государство должно осуществлять нормативно-правовое регулирование, надзорные и иные функции, в том числе, и за гражданским оборотом.</w:t>
      </w:r>
    </w:p>
    <w:p w14:paraId="328900EA"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Помимо приведенных нами ранее положений статьи 124 ГК, в ней также содержится норма о том, что в отношении ППО может применяться специальное регулирование на основе закона, так как не все аспекты участия ППО в гражданских правоотношениях предусмотрены ГК. И, безусловно, нельзя слепо проводить аналогию права, касающегося юридических лиц на ППО (например, в части регистрации ю/л, филиалах и пр.).</w:t>
      </w:r>
    </w:p>
    <w:p w14:paraId="4CF4D172"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Поэтому однозначным выводом является тот факт, что каждый вид ППО – самостоятельный субъект права, который отличается как от физических, так и от юридических лиц.</w:t>
      </w:r>
    </w:p>
    <w:p w14:paraId="6713E458"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Таким образом, резюмируя наше исследование, можем утверждать, что публично-правовое образование – участник гражданского правоотношения; обладает специальной правоспособностью; независимо от иных участников правоотношения; самостоятельно устанавливает нормы права, по которым и действуют все участники гражданского оборота; преследует публичный интерес, представляющий собой совокупность потребностей всего общества; обладает рядом уникальных полномочий, присущих только для ППО. </w:t>
      </w:r>
    </w:p>
    <w:p w14:paraId="012BED52" w14:textId="77777777" w:rsidR="001B6C3B" w:rsidRDefault="001B6C3B" w:rsidP="001B6C3B">
      <w:pPr>
        <w:pStyle w:val="aa"/>
        <w:spacing w:before="0" w:beforeAutospacing="0" w:after="0" w:afterAutospacing="0"/>
        <w:ind w:firstLine="709"/>
        <w:jc w:val="both"/>
        <w:textAlignment w:val="top"/>
        <w:rPr>
          <w:b/>
          <w:bCs/>
        </w:rPr>
      </w:pPr>
    </w:p>
    <w:p w14:paraId="0D3C251B" w14:textId="77777777" w:rsidR="001B6C3B" w:rsidRDefault="001B6C3B" w:rsidP="001B6C3B">
      <w:pPr>
        <w:pStyle w:val="aa"/>
        <w:spacing w:before="0" w:beforeAutospacing="0" w:after="0" w:afterAutospacing="0"/>
        <w:ind w:firstLine="709"/>
        <w:jc w:val="both"/>
        <w:textAlignment w:val="top"/>
        <w:rPr>
          <w:b/>
          <w:bCs/>
        </w:rPr>
      </w:pPr>
      <w:r>
        <w:rPr>
          <w:b/>
          <w:bCs/>
        </w:rPr>
        <w:t>Библиографический список</w:t>
      </w:r>
    </w:p>
    <w:p w14:paraId="576826C5" w14:textId="77777777" w:rsidR="001B6C3B" w:rsidRDefault="001B6C3B" w:rsidP="001B6C3B">
      <w:pPr>
        <w:spacing w:after="0" w:line="240" w:lineRule="auto"/>
        <w:ind w:firstLine="709"/>
        <w:jc w:val="both"/>
        <w:rPr>
          <w:rFonts w:ascii="Times New Roman" w:eastAsia="Times New Roman" w:hAnsi="Times New Roman" w:cs="Times New Roman"/>
          <w:sz w:val="24"/>
          <w:szCs w:val="24"/>
          <w:lang w:eastAsia="ru-RU"/>
        </w:rPr>
      </w:pPr>
    </w:p>
    <w:p w14:paraId="51A42E1E" w14:textId="77777777" w:rsidR="001B6C3B" w:rsidRDefault="001B6C3B" w:rsidP="001B6C3B">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 Васильева Е.Н. Гражданская правоспособность государства // Субъекты гражданского права. – М., 2003. – С. 54-55. </w:t>
      </w:r>
    </w:p>
    <w:p w14:paraId="228A0F44" w14:textId="77777777" w:rsidR="001B6C3B" w:rsidRDefault="001B6C3B" w:rsidP="001B6C3B">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2. Инжиева Б.Б. Специальная правоспособность государства в лице казенных учреждений // Пробелы в Российском законодательстве. – 2012. – No 2. – С. 110-113. </w:t>
      </w:r>
    </w:p>
    <w:p w14:paraId="2578596E" w14:textId="77777777" w:rsidR="001B6C3B" w:rsidRDefault="001B6C3B" w:rsidP="001B6C3B">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3. Клячин А.А. Государственный и общественный интерес в частном праве // Проблемы развития российского законодательства. Сборник статей. – Пермь, 2002. – С. 168-169. </w:t>
      </w:r>
    </w:p>
    <w:p w14:paraId="150B8D82" w14:textId="77777777" w:rsidR="001B6C3B" w:rsidRDefault="001B6C3B" w:rsidP="001B6C3B">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4. Коршунов Д.Н. Интерес в частном праве: вопросы теории. Моногра- фия / Под общ. ред. Ю.С. Решетов. – Казань, 2005. – С. 101. </w:t>
      </w:r>
    </w:p>
    <w:p w14:paraId="77405EB5" w14:textId="77777777" w:rsidR="001B6C3B" w:rsidRDefault="001B6C3B" w:rsidP="001B6C3B">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5. Курбатов А.Я. О юридических лицах публичного права // Хозяйство и право.–2009.–No10.–С.80. </w:t>
      </w:r>
    </w:p>
    <w:p w14:paraId="7B7E4594" w14:textId="77777777" w:rsidR="001B6C3B" w:rsidRDefault="001B6C3B" w:rsidP="001B6C3B">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6. Марченко М.Н. Учебник: в 2-х томах. Т. 1. Проблемы общей теории государства и права: Государство. – М., 2007. – С. 165. </w:t>
      </w:r>
    </w:p>
    <w:p w14:paraId="36403A79" w14:textId="77777777" w:rsidR="001B6C3B" w:rsidRDefault="001B6C3B" w:rsidP="001B6C3B">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7. Михайлов С.В. Категория интереса в российском гражданском праве. – М.: «Статут», 2002. – С. 26. </w:t>
      </w:r>
    </w:p>
    <w:p w14:paraId="59100999" w14:textId="77777777" w:rsidR="001B6C3B" w:rsidRDefault="001B6C3B" w:rsidP="001B6C3B">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8. Пушкин А.А. Советское государство как субъект советского граждан- ского права. – Харьков, 1965. – С. 12. </w:t>
      </w:r>
    </w:p>
    <w:p w14:paraId="574D2406" w14:textId="77777777" w:rsidR="001B6C3B" w:rsidRDefault="001B6C3B" w:rsidP="001B6C3B">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9. Пятков Д.В. О гражданской правосубъектности Российской Федерации, ее субъектов и муниципальных образований // Журнал российского права. – 1999. – No 10. – C. 78-80. </w:t>
      </w:r>
    </w:p>
    <w:p w14:paraId="456BD42B" w14:textId="77777777" w:rsidR="001B6C3B" w:rsidRDefault="001B6C3B" w:rsidP="001B6C3B">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10. Сергеев А.П., Толстой Ю.К. Учебник. Гражданское право. Ч. 1. – М.: Проспект, 1997. – С. 172. </w:t>
      </w:r>
    </w:p>
    <w:p w14:paraId="54B7553B" w14:textId="77777777" w:rsidR="001B6C3B" w:rsidRDefault="001B6C3B" w:rsidP="001B6C3B">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11. Усков О.Ю. Юридические лица публичного права: понятие и виды // Журнал российского права. – 2010. – No 6. – С. 111. </w:t>
      </w:r>
    </w:p>
    <w:p w14:paraId="184D8995" w14:textId="77777777" w:rsidR="001B6C3B" w:rsidRDefault="001B6C3B" w:rsidP="001B6C3B">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12. Шенгелия Р.В. Гражданская правосубъектность Советского государства в кредитных отношениях. – Тбилиси, 1984. – С. 18. </w:t>
      </w:r>
    </w:p>
    <w:p w14:paraId="71A3E81A" w14:textId="77777777" w:rsidR="001B6C3B" w:rsidRDefault="001B6C3B" w:rsidP="001B6C3B">
      <w:pPr>
        <w:spacing w:after="0" w:line="240" w:lineRule="auto"/>
        <w:rPr>
          <w:rFonts w:ascii="Times New Roman" w:eastAsia="Times New Roman" w:hAnsi="Times New Roman" w:cs="Times New Roman"/>
          <w:sz w:val="24"/>
          <w:szCs w:val="24"/>
          <w:lang w:eastAsia="ru-RU"/>
        </w:rPr>
        <w:sectPr w:rsidR="001B6C3B">
          <w:footnotePr>
            <w:numRestart w:val="eachPage"/>
          </w:footnotePr>
          <w:pgSz w:w="11906" w:h="16838"/>
          <w:pgMar w:top="1134" w:right="1134" w:bottom="1134" w:left="1134" w:header="709" w:footer="709" w:gutter="0"/>
          <w:cols w:space="720"/>
        </w:sectPr>
      </w:pPr>
    </w:p>
    <w:p w14:paraId="380C1885" w14:textId="77777777" w:rsidR="001B6C3B" w:rsidRDefault="001B6C3B" w:rsidP="001B6C3B">
      <w:pPr>
        <w:spacing w:after="0" w:line="240" w:lineRule="auto"/>
        <w:jc w:val="both"/>
        <w:rPr>
          <w:rFonts w:ascii="Times New Roman" w:hAnsi="Times New Roman" w:cs="Times New Roman"/>
          <w:sz w:val="24"/>
          <w:szCs w:val="24"/>
        </w:rPr>
      </w:pPr>
    </w:p>
    <w:p w14:paraId="43156F86" w14:textId="77777777" w:rsidR="001B6C3B" w:rsidRDefault="001B6C3B" w:rsidP="001B6C3B">
      <w:pPr>
        <w:spacing w:after="0" w:line="240" w:lineRule="auto"/>
        <w:ind w:left="5245"/>
        <w:jc w:val="both"/>
        <w:rPr>
          <w:rFonts w:ascii="Times New Roman" w:hAnsi="Times New Roman" w:cs="Times New Roman"/>
          <w:b/>
          <w:sz w:val="24"/>
          <w:szCs w:val="24"/>
        </w:rPr>
      </w:pPr>
      <w:r>
        <w:rPr>
          <w:rFonts w:ascii="Times New Roman" w:hAnsi="Times New Roman" w:cs="Times New Roman"/>
          <w:b/>
          <w:sz w:val="24"/>
          <w:szCs w:val="24"/>
        </w:rPr>
        <w:t>УДК/</w:t>
      </w:r>
      <w:r>
        <w:rPr>
          <w:rFonts w:ascii="Times New Roman" w:hAnsi="Times New Roman" w:cs="Times New Roman"/>
          <w:b/>
          <w:sz w:val="24"/>
          <w:szCs w:val="24"/>
          <w:lang w:val="en-US"/>
        </w:rPr>
        <w:t>UDC</w:t>
      </w:r>
      <w:r>
        <w:rPr>
          <w:rFonts w:ascii="Times New Roman" w:hAnsi="Times New Roman" w:cs="Times New Roman"/>
          <w:b/>
          <w:sz w:val="24"/>
          <w:szCs w:val="24"/>
        </w:rPr>
        <w:t xml:space="preserve"> 4414</w:t>
      </w:r>
    </w:p>
    <w:p w14:paraId="28642CEA" w14:textId="77777777" w:rsidR="001B6C3B" w:rsidRDefault="001B6C3B" w:rsidP="001B6C3B">
      <w:pPr>
        <w:spacing w:after="0" w:line="240" w:lineRule="auto"/>
        <w:ind w:left="5245"/>
        <w:jc w:val="both"/>
        <w:rPr>
          <w:rFonts w:ascii="Times New Roman" w:hAnsi="Times New Roman" w:cs="Times New Roman"/>
          <w:b/>
          <w:sz w:val="24"/>
          <w:szCs w:val="24"/>
        </w:rPr>
      </w:pPr>
    </w:p>
    <w:p w14:paraId="261BE08E" w14:textId="77777777" w:rsidR="001B6C3B" w:rsidRDefault="001B6C3B" w:rsidP="001B6C3B">
      <w:pPr>
        <w:spacing w:after="0" w:line="240" w:lineRule="auto"/>
        <w:ind w:left="5245"/>
        <w:jc w:val="both"/>
        <w:rPr>
          <w:rFonts w:ascii="Times New Roman" w:hAnsi="Times New Roman" w:cs="Times New Roman"/>
          <w:b/>
          <w:sz w:val="24"/>
          <w:szCs w:val="24"/>
        </w:rPr>
      </w:pPr>
      <w:r>
        <w:rPr>
          <w:rFonts w:ascii="Times New Roman" w:hAnsi="Times New Roman" w:cs="Times New Roman"/>
          <w:b/>
          <w:sz w:val="24"/>
          <w:szCs w:val="24"/>
        </w:rPr>
        <w:t>Бакин Сергей Эдуардович</w:t>
      </w:r>
    </w:p>
    <w:p w14:paraId="16826F5F" w14:textId="77777777" w:rsidR="001B6C3B" w:rsidRDefault="001B6C3B" w:rsidP="001B6C3B">
      <w:pPr>
        <w:spacing w:after="0" w:line="240" w:lineRule="auto"/>
        <w:ind w:left="5245"/>
        <w:jc w:val="both"/>
        <w:rPr>
          <w:rFonts w:ascii="Times New Roman" w:hAnsi="Times New Roman" w:cs="Times New Roman"/>
          <w:b/>
          <w:sz w:val="24"/>
          <w:szCs w:val="24"/>
        </w:rPr>
      </w:pPr>
      <w:r>
        <w:rPr>
          <w:rFonts w:ascii="Times New Roman" w:hAnsi="Times New Roman" w:cs="Times New Roman"/>
          <w:b/>
          <w:sz w:val="24"/>
          <w:szCs w:val="24"/>
          <w:lang w:val="en-US"/>
        </w:rPr>
        <w:t>Bakin</w:t>
      </w:r>
      <w:r w:rsidRPr="001B6C3B">
        <w:rPr>
          <w:rFonts w:ascii="Times New Roman" w:hAnsi="Times New Roman" w:cs="Times New Roman"/>
          <w:b/>
          <w:sz w:val="24"/>
          <w:szCs w:val="24"/>
        </w:rPr>
        <w:t xml:space="preserve"> </w:t>
      </w:r>
      <w:r>
        <w:rPr>
          <w:rFonts w:ascii="Times New Roman" w:hAnsi="Times New Roman" w:cs="Times New Roman"/>
          <w:b/>
          <w:sz w:val="24"/>
          <w:szCs w:val="24"/>
          <w:lang w:val="en-US"/>
        </w:rPr>
        <w:t>Sergey</w:t>
      </w:r>
      <w:r w:rsidRPr="001B6C3B">
        <w:rPr>
          <w:rFonts w:ascii="Times New Roman" w:hAnsi="Times New Roman" w:cs="Times New Roman"/>
          <w:b/>
          <w:sz w:val="24"/>
          <w:szCs w:val="24"/>
        </w:rPr>
        <w:t xml:space="preserve"> </w:t>
      </w:r>
      <w:r>
        <w:rPr>
          <w:rFonts w:ascii="Times New Roman" w:hAnsi="Times New Roman" w:cs="Times New Roman"/>
          <w:b/>
          <w:sz w:val="24"/>
          <w:szCs w:val="24"/>
          <w:lang w:val="en-US"/>
        </w:rPr>
        <w:t>Eduardovich</w:t>
      </w:r>
    </w:p>
    <w:p w14:paraId="24F74370" w14:textId="77777777" w:rsidR="001B6C3B" w:rsidRDefault="001B6C3B" w:rsidP="001B6C3B">
      <w:pPr>
        <w:spacing w:after="0" w:line="240" w:lineRule="auto"/>
        <w:ind w:left="5245"/>
        <w:jc w:val="both"/>
        <w:rPr>
          <w:rFonts w:ascii="Times New Roman" w:hAnsi="Times New Roman" w:cs="Times New Roman"/>
          <w:sz w:val="24"/>
          <w:szCs w:val="24"/>
        </w:rPr>
      </w:pPr>
      <w:r>
        <w:rPr>
          <w:rFonts w:ascii="Times New Roman" w:hAnsi="Times New Roman" w:cs="Times New Roman"/>
          <w:sz w:val="24"/>
          <w:szCs w:val="24"/>
        </w:rPr>
        <w:t>бакалавр Федеральное государственное бюджетное образовательное учреждение высшего образования «Кубанский государственный аграрный университет имени И.Т. Трубилина»</w:t>
      </w:r>
    </w:p>
    <w:p w14:paraId="3CE2F4CE" w14:textId="77777777" w:rsidR="001B6C3B" w:rsidRDefault="001B6C3B" w:rsidP="001B6C3B">
      <w:pPr>
        <w:spacing w:after="0" w:line="240" w:lineRule="auto"/>
        <w:ind w:left="5245"/>
        <w:jc w:val="both"/>
        <w:rPr>
          <w:rFonts w:ascii="Times New Roman" w:hAnsi="Times New Roman" w:cs="Times New Roman"/>
          <w:sz w:val="24"/>
          <w:szCs w:val="24"/>
          <w:lang w:val="en-US"/>
        </w:rPr>
      </w:pPr>
      <w:r>
        <w:rPr>
          <w:rFonts w:ascii="Times New Roman" w:hAnsi="Times New Roman" w:cs="Times New Roman"/>
          <w:sz w:val="24"/>
          <w:szCs w:val="24"/>
          <w:lang w:val="en-US"/>
        </w:rPr>
        <w:t>Federal State Budgetary Educational Institution of Higher Education «Kuban State Agrarian University names after I.T. Trubilin»</w:t>
      </w:r>
    </w:p>
    <w:p w14:paraId="69D669DC" w14:textId="77777777" w:rsidR="001B6C3B" w:rsidRDefault="001B6C3B" w:rsidP="001B6C3B">
      <w:pPr>
        <w:spacing w:after="0" w:line="240" w:lineRule="auto"/>
        <w:ind w:left="5245"/>
        <w:jc w:val="both"/>
        <w:rPr>
          <w:rFonts w:ascii="Times New Roman" w:hAnsi="Times New Roman" w:cs="Times New Roman"/>
          <w:sz w:val="24"/>
          <w:szCs w:val="24"/>
        </w:rPr>
      </w:pPr>
      <w:r>
        <w:rPr>
          <w:rFonts w:ascii="Times New Roman" w:hAnsi="Times New Roman" w:cs="Times New Roman"/>
          <w:sz w:val="24"/>
          <w:szCs w:val="24"/>
        </w:rPr>
        <w:t>Российская Федерация, г. Краснодар</w:t>
      </w:r>
    </w:p>
    <w:p w14:paraId="61A813C2" w14:textId="77777777" w:rsidR="001B6C3B" w:rsidRDefault="001B6C3B" w:rsidP="001B6C3B">
      <w:pPr>
        <w:spacing w:after="0" w:line="240" w:lineRule="auto"/>
        <w:ind w:left="5245"/>
        <w:jc w:val="both"/>
        <w:rPr>
          <w:rFonts w:ascii="Times New Roman" w:hAnsi="Times New Roman" w:cs="Times New Roman"/>
          <w:sz w:val="24"/>
          <w:szCs w:val="24"/>
        </w:rPr>
      </w:pPr>
      <w:r>
        <w:rPr>
          <w:rFonts w:ascii="Times New Roman" w:hAnsi="Times New Roman" w:cs="Times New Roman"/>
          <w:sz w:val="24"/>
          <w:szCs w:val="24"/>
          <w:lang w:val="en-US"/>
        </w:rPr>
        <w:t>Russian</w:t>
      </w:r>
      <w:r w:rsidRPr="001B6C3B">
        <w:rPr>
          <w:rFonts w:ascii="Times New Roman" w:hAnsi="Times New Roman" w:cs="Times New Roman"/>
          <w:sz w:val="24"/>
          <w:szCs w:val="24"/>
        </w:rPr>
        <w:t xml:space="preserve"> </w:t>
      </w:r>
      <w:r>
        <w:rPr>
          <w:rFonts w:ascii="Times New Roman" w:hAnsi="Times New Roman" w:cs="Times New Roman"/>
          <w:sz w:val="24"/>
          <w:szCs w:val="24"/>
          <w:lang w:val="en-US"/>
        </w:rPr>
        <w:t>Federation</w:t>
      </w:r>
      <w:r>
        <w:rPr>
          <w:rFonts w:ascii="Times New Roman" w:hAnsi="Times New Roman" w:cs="Times New Roman"/>
          <w:sz w:val="24"/>
          <w:szCs w:val="24"/>
        </w:rPr>
        <w:t xml:space="preserve">, </w:t>
      </w:r>
      <w:r>
        <w:rPr>
          <w:rFonts w:ascii="Times New Roman" w:hAnsi="Times New Roman" w:cs="Times New Roman"/>
          <w:sz w:val="24"/>
          <w:szCs w:val="24"/>
          <w:lang w:val="en-US"/>
        </w:rPr>
        <w:t>Krasnodar</w:t>
      </w:r>
    </w:p>
    <w:p w14:paraId="080AD677" w14:textId="77777777" w:rsidR="001B6C3B" w:rsidRDefault="00EE7838" w:rsidP="001B6C3B">
      <w:pPr>
        <w:spacing w:after="0" w:line="240" w:lineRule="auto"/>
        <w:ind w:left="5245"/>
        <w:jc w:val="both"/>
        <w:rPr>
          <w:rFonts w:ascii="Times New Roman" w:hAnsi="Times New Roman" w:cs="Times New Roman"/>
          <w:sz w:val="24"/>
          <w:szCs w:val="24"/>
        </w:rPr>
      </w:pPr>
      <w:hyperlink r:id="rId16" w:history="1">
        <w:r w:rsidR="001B6C3B">
          <w:rPr>
            <w:rStyle w:val="a9"/>
            <w:rFonts w:ascii="Times New Roman" w:hAnsi="Times New Roman" w:cs="Times New Roman"/>
            <w:sz w:val="24"/>
            <w:szCs w:val="24"/>
            <w:lang w:val="en-US"/>
          </w:rPr>
          <w:t>e</w:t>
        </w:r>
        <w:r w:rsidR="001B6C3B">
          <w:rPr>
            <w:rStyle w:val="a9"/>
            <w:rFonts w:ascii="Times New Roman" w:hAnsi="Times New Roman" w:cs="Times New Roman"/>
            <w:sz w:val="24"/>
            <w:szCs w:val="24"/>
          </w:rPr>
          <w:t>-</w:t>
        </w:r>
        <w:r w:rsidR="001B6C3B">
          <w:rPr>
            <w:rStyle w:val="a9"/>
            <w:rFonts w:ascii="Times New Roman" w:hAnsi="Times New Roman" w:cs="Times New Roman"/>
            <w:sz w:val="24"/>
            <w:szCs w:val="24"/>
            <w:lang w:val="en-US"/>
          </w:rPr>
          <w:t>mail</w:t>
        </w:r>
        <w:r w:rsidR="001B6C3B">
          <w:rPr>
            <w:rStyle w:val="a9"/>
            <w:rFonts w:ascii="Times New Roman" w:hAnsi="Times New Roman" w:cs="Times New Roman"/>
            <w:sz w:val="24"/>
            <w:szCs w:val="24"/>
          </w:rPr>
          <w:t xml:space="preserve">: </w:t>
        </w:r>
        <w:r w:rsidR="001B6C3B">
          <w:rPr>
            <w:rStyle w:val="a9"/>
            <w:rFonts w:ascii="Times New Roman" w:eastAsiaTheme="majorEastAsia" w:hAnsi="Times New Roman" w:cs="Times New Roman"/>
            <w:sz w:val="24"/>
            <w:szCs w:val="24"/>
            <w:lang w:val="en-US"/>
          </w:rPr>
          <w:t>qceboy</w:t>
        </w:r>
        <w:r w:rsidR="001B6C3B">
          <w:rPr>
            <w:rStyle w:val="a9"/>
            <w:rFonts w:ascii="Times New Roman" w:eastAsiaTheme="majorEastAsia" w:hAnsi="Times New Roman" w:cs="Times New Roman"/>
            <w:sz w:val="24"/>
            <w:szCs w:val="24"/>
          </w:rPr>
          <w:t>@</w:t>
        </w:r>
        <w:r w:rsidR="001B6C3B">
          <w:rPr>
            <w:rStyle w:val="a9"/>
            <w:rFonts w:ascii="Times New Roman" w:eastAsiaTheme="majorEastAsia" w:hAnsi="Times New Roman" w:cs="Times New Roman"/>
            <w:sz w:val="24"/>
            <w:szCs w:val="24"/>
            <w:lang w:val="en-US"/>
          </w:rPr>
          <w:t>yandex</w:t>
        </w:r>
        <w:r w:rsidR="001B6C3B">
          <w:rPr>
            <w:rStyle w:val="a9"/>
            <w:rFonts w:ascii="Times New Roman" w:eastAsiaTheme="majorEastAsia" w:hAnsi="Times New Roman" w:cs="Times New Roman"/>
            <w:sz w:val="24"/>
            <w:szCs w:val="24"/>
          </w:rPr>
          <w:t>.</w:t>
        </w:r>
        <w:r w:rsidR="001B6C3B">
          <w:rPr>
            <w:rStyle w:val="a9"/>
            <w:rFonts w:ascii="Times New Roman" w:eastAsiaTheme="majorEastAsia" w:hAnsi="Times New Roman" w:cs="Times New Roman"/>
            <w:sz w:val="24"/>
            <w:szCs w:val="24"/>
            <w:lang w:val="en-US"/>
          </w:rPr>
          <w:t>ru</w:t>
        </w:r>
      </w:hyperlink>
    </w:p>
    <w:p w14:paraId="22D256AB" w14:textId="77777777" w:rsidR="001B6C3B" w:rsidRDefault="001B6C3B" w:rsidP="001B6C3B">
      <w:pPr>
        <w:spacing w:after="0" w:line="240" w:lineRule="auto"/>
        <w:ind w:left="5245"/>
        <w:jc w:val="both"/>
        <w:rPr>
          <w:rFonts w:ascii="Times New Roman" w:hAnsi="Times New Roman" w:cs="Times New Roman"/>
          <w:sz w:val="24"/>
          <w:szCs w:val="24"/>
        </w:rPr>
      </w:pPr>
      <w:r>
        <w:rPr>
          <w:rFonts w:ascii="Times New Roman" w:hAnsi="Times New Roman" w:cs="Times New Roman"/>
          <w:sz w:val="24"/>
          <w:szCs w:val="24"/>
        </w:rPr>
        <w:t>Научный руководитель:</w:t>
      </w:r>
    </w:p>
    <w:p w14:paraId="7A53A3E0" w14:textId="77777777" w:rsidR="001B6C3B" w:rsidRDefault="001B6C3B" w:rsidP="001B6C3B">
      <w:pPr>
        <w:spacing w:after="0" w:line="240" w:lineRule="auto"/>
        <w:ind w:left="5245"/>
        <w:jc w:val="both"/>
        <w:rPr>
          <w:rFonts w:ascii="Times New Roman" w:hAnsi="Times New Roman" w:cs="Times New Roman"/>
          <w:sz w:val="24"/>
          <w:szCs w:val="24"/>
        </w:rPr>
      </w:pPr>
      <w:r>
        <w:rPr>
          <w:rFonts w:ascii="Times New Roman" w:hAnsi="Times New Roman" w:cs="Times New Roman"/>
          <w:sz w:val="24"/>
          <w:szCs w:val="24"/>
        </w:rPr>
        <w:t>Седова Наталья Александровна, к.ю.н., доцент</w:t>
      </w:r>
    </w:p>
    <w:p w14:paraId="75C2CCB2" w14:textId="77777777" w:rsidR="001B6C3B" w:rsidRDefault="001B6C3B" w:rsidP="001B6C3B">
      <w:pPr>
        <w:keepNext/>
        <w:spacing w:after="0" w:line="240" w:lineRule="auto"/>
        <w:ind w:firstLine="709"/>
        <w:jc w:val="both"/>
        <w:rPr>
          <w:rFonts w:ascii="Times New Roman" w:hAnsi="Times New Roman" w:cs="Times New Roman"/>
          <w:b/>
          <w:sz w:val="24"/>
          <w:szCs w:val="24"/>
        </w:rPr>
      </w:pPr>
    </w:p>
    <w:p w14:paraId="4D33C079" w14:textId="77777777" w:rsidR="001B6C3B" w:rsidRDefault="001B6C3B" w:rsidP="001B6C3B">
      <w:pPr>
        <w:keepNext/>
        <w:spacing w:after="0" w:line="240" w:lineRule="auto"/>
        <w:ind w:firstLine="709"/>
        <w:jc w:val="center"/>
        <w:rPr>
          <w:rFonts w:ascii="Times New Roman" w:hAnsi="Times New Roman" w:cs="Times New Roman"/>
          <w:b/>
          <w:sz w:val="24"/>
          <w:szCs w:val="24"/>
        </w:rPr>
      </w:pPr>
      <w:r>
        <w:rPr>
          <w:rFonts w:ascii="Times New Roman" w:hAnsi="Times New Roman" w:cs="Times New Roman"/>
          <w:b/>
          <w:sz w:val="24"/>
          <w:szCs w:val="24"/>
        </w:rPr>
        <w:t>ГЕНЕЗИС ИНСТИТУТА ПРЕДВАРИТЕЛЬНОГО ДОГОВОРА В ОТЕЧЕСТВЕННОМ ГРАЖДАНСКОМ ПРАВЕ</w:t>
      </w:r>
    </w:p>
    <w:p w14:paraId="556BCCE1" w14:textId="77777777" w:rsidR="001B6C3B" w:rsidRDefault="001B6C3B" w:rsidP="001B6C3B">
      <w:pPr>
        <w:keepNext/>
        <w:spacing w:after="0" w:line="240" w:lineRule="auto"/>
        <w:ind w:firstLine="709"/>
        <w:jc w:val="center"/>
        <w:rPr>
          <w:rFonts w:ascii="Times New Roman" w:hAnsi="Times New Roman" w:cs="Times New Roman"/>
          <w:b/>
          <w:sz w:val="24"/>
          <w:szCs w:val="24"/>
        </w:rPr>
      </w:pPr>
    </w:p>
    <w:p w14:paraId="239FB54C" w14:textId="77777777" w:rsidR="001B6C3B" w:rsidRDefault="001B6C3B" w:rsidP="001B6C3B">
      <w:pPr>
        <w:keepNext/>
        <w:spacing w:after="0" w:line="240" w:lineRule="auto"/>
        <w:ind w:firstLine="709"/>
        <w:jc w:val="center"/>
        <w:rPr>
          <w:rFonts w:ascii="Times New Roman" w:hAnsi="Times New Roman" w:cs="Times New Roman"/>
          <w:b/>
          <w:sz w:val="24"/>
          <w:szCs w:val="24"/>
          <w:lang w:val="en-US"/>
        </w:rPr>
      </w:pPr>
      <w:r>
        <w:rPr>
          <w:rFonts w:ascii="Times New Roman" w:hAnsi="Times New Roman" w:cs="Times New Roman"/>
          <w:b/>
          <w:sz w:val="24"/>
          <w:szCs w:val="24"/>
          <w:lang w:val="en-US"/>
        </w:rPr>
        <w:t>GENESIS OF THE INSTITUTE OF THE PRELIMINARY AGREEMENT IN DOMESTIC CIVIL LAW</w:t>
      </w:r>
    </w:p>
    <w:p w14:paraId="40FAEB1E" w14:textId="77777777" w:rsidR="001B6C3B" w:rsidRDefault="001B6C3B" w:rsidP="001B6C3B">
      <w:pPr>
        <w:keepNext/>
        <w:spacing w:after="0" w:line="240" w:lineRule="auto"/>
        <w:ind w:firstLine="709"/>
        <w:jc w:val="both"/>
        <w:rPr>
          <w:rFonts w:ascii="Times New Roman" w:hAnsi="Times New Roman" w:cs="Times New Roman"/>
          <w:b/>
          <w:sz w:val="24"/>
          <w:szCs w:val="24"/>
          <w:lang w:val="en-US"/>
        </w:rPr>
      </w:pPr>
    </w:p>
    <w:p w14:paraId="751AB4D0" w14:textId="77777777" w:rsidR="001B6C3B" w:rsidRDefault="001B6C3B" w:rsidP="001B6C3B">
      <w:pPr>
        <w:spacing w:after="0" w:line="240" w:lineRule="auto"/>
        <w:ind w:firstLine="709"/>
        <w:jc w:val="both"/>
        <w:rPr>
          <w:rFonts w:ascii="Times New Roman" w:hAnsi="Times New Roman" w:cs="Times New Roman"/>
          <w:i/>
          <w:sz w:val="24"/>
          <w:szCs w:val="24"/>
        </w:rPr>
      </w:pPr>
      <w:r>
        <w:rPr>
          <w:rFonts w:ascii="Times New Roman" w:hAnsi="Times New Roman" w:cs="Times New Roman"/>
          <w:b/>
          <w:i/>
          <w:sz w:val="24"/>
          <w:szCs w:val="24"/>
        </w:rPr>
        <w:t>Аннотация:</w:t>
      </w:r>
      <w:r>
        <w:rPr>
          <w:rFonts w:ascii="Times New Roman" w:hAnsi="Times New Roman" w:cs="Times New Roman"/>
          <w:i/>
          <w:sz w:val="24"/>
          <w:szCs w:val="24"/>
        </w:rPr>
        <w:t xml:space="preserve"> Предварительные договорённости, объединённые под единым правовым институтом, получили современный формат, благодаря долгому и трудному развитию. Изначально, область, которую охватывал этот договорной тип, была незначительной, но положение постепенно менялось, приобретая значительные масштабы. Данная статья посвящена исследованию основных этапов развития предварительного договора в Российском праве.</w:t>
      </w:r>
    </w:p>
    <w:p w14:paraId="1C978461" w14:textId="77777777" w:rsidR="001B6C3B" w:rsidRDefault="001B6C3B" w:rsidP="001B6C3B">
      <w:pPr>
        <w:spacing w:after="0" w:line="240" w:lineRule="auto"/>
        <w:ind w:firstLine="709"/>
        <w:jc w:val="both"/>
        <w:rPr>
          <w:rFonts w:ascii="Times New Roman" w:hAnsi="Times New Roman" w:cs="Times New Roman"/>
          <w:i/>
          <w:sz w:val="24"/>
          <w:szCs w:val="24"/>
        </w:rPr>
      </w:pPr>
      <w:r>
        <w:rPr>
          <w:rFonts w:ascii="Times New Roman" w:hAnsi="Times New Roman" w:cs="Times New Roman"/>
          <w:b/>
          <w:i/>
          <w:sz w:val="24"/>
          <w:szCs w:val="24"/>
        </w:rPr>
        <w:t>Ключевые слова:</w:t>
      </w:r>
      <w:r>
        <w:rPr>
          <w:rFonts w:ascii="Times New Roman" w:hAnsi="Times New Roman" w:cs="Times New Roman"/>
          <w:i/>
          <w:sz w:val="24"/>
          <w:szCs w:val="24"/>
        </w:rPr>
        <w:t xml:space="preserve"> предварительный договор; договорные обязательства; генезис; становление института предварительного договора; становление и развитие.</w:t>
      </w:r>
    </w:p>
    <w:p w14:paraId="7BBE379B" w14:textId="77777777" w:rsidR="001B6C3B" w:rsidRDefault="001B6C3B" w:rsidP="001B6C3B">
      <w:pPr>
        <w:spacing w:after="0" w:line="240" w:lineRule="auto"/>
        <w:ind w:firstLine="709"/>
        <w:jc w:val="both"/>
        <w:rPr>
          <w:rFonts w:ascii="Times New Roman" w:hAnsi="Times New Roman" w:cs="Times New Roman"/>
          <w:i/>
          <w:sz w:val="24"/>
          <w:szCs w:val="24"/>
          <w:lang w:val="en-US"/>
        </w:rPr>
      </w:pPr>
      <w:r>
        <w:rPr>
          <w:rFonts w:ascii="Times New Roman" w:hAnsi="Times New Roman" w:cs="Times New Roman"/>
          <w:b/>
          <w:i/>
          <w:sz w:val="24"/>
          <w:szCs w:val="24"/>
          <w:lang w:val="en-US"/>
        </w:rPr>
        <w:t>Annotation</w:t>
      </w:r>
      <w:r>
        <w:rPr>
          <w:rFonts w:ascii="Times New Roman" w:hAnsi="Times New Roman" w:cs="Times New Roman"/>
          <w:i/>
          <w:sz w:val="24"/>
          <w:szCs w:val="24"/>
          <w:lang w:val="en-US"/>
        </w:rPr>
        <w:t>: Preliminary agreements, united under a single legal institution, have received a modern format, thanks to a long and difficult development. Initially, the area covered by this contractual type was insignificant, but the situation gradually changed, acquiring significant proportions. This article is devoted to the study of the main stages in the development of a preliminary contract in Russian law.</w:t>
      </w:r>
    </w:p>
    <w:p w14:paraId="4B682241" w14:textId="77777777" w:rsidR="001B6C3B" w:rsidRDefault="001B6C3B" w:rsidP="001B6C3B">
      <w:pPr>
        <w:spacing w:after="0" w:line="240" w:lineRule="auto"/>
        <w:ind w:firstLine="709"/>
        <w:jc w:val="both"/>
        <w:rPr>
          <w:rFonts w:ascii="Times New Roman" w:hAnsi="Times New Roman" w:cs="Times New Roman"/>
          <w:i/>
          <w:sz w:val="24"/>
          <w:szCs w:val="24"/>
          <w:lang w:val="en-US"/>
        </w:rPr>
      </w:pPr>
      <w:r>
        <w:rPr>
          <w:rFonts w:ascii="Times New Roman" w:hAnsi="Times New Roman" w:cs="Times New Roman"/>
          <w:b/>
          <w:i/>
          <w:sz w:val="24"/>
          <w:szCs w:val="24"/>
          <w:lang w:val="en-US"/>
        </w:rPr>
        <w:t>Keywords</w:t>
      </w:r>
      <w:r>
        <w:rPr>
          <w:rFonts w:ascii="Times New Roman" w:hAnsi="Times New Roman" w:cs="Times New Roman"/>
          <w:i/>
          <w:sz w:val="24"/>
          <w:szCs w:val="24"/>
          <w:lang w:val="en-US"/>
        </w:rPr>
        <w:t>: preliminary agreement; contractual obligations; genesis; establishment of the institution of preliminary agreement; formation and development.</w:t>
      </w:r>
    </w:p>
    <w:p w14:paraId="74F6F5A5"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Подобие ранних договорённостей можно было встретить в Своде законов, который внёс в обиход понятие «запродажи»</w:t>
      </w:r>
      <w:r>
        <w:rPr>
          <w:rStyle w:val="a7"/>
          <w:rFonts w:ascii="Times New Roman" w:hAnsi="Times New Roman" w:cs="Times New Roman"/>
          <w:sz w:val="24"/>
          <w:szCs w:val="24"/>
        </w:rPr>
        <w:footnoteReference w:id="53"/>
      </w:r>
      <w:r>
        <w:rPr>
          <w:rFonts w:ascii="Times New Roman" w:hAnsi="Times New Roman" w:cs="Times New Roman"/>
          <w:sz w:val="24"/>
          <w:szCs w:val="24"/>
        </w:rPr>
        <w:t xml:space="preserve">. Этот термин частично напоминает современную трактовку предварительного договора и имеет с ней схожую функцию. Так, законодательством предусматривались обязательства, действующих в рамках будущих отношений, где одна сторона гарантировала продажу объекта недвижимости другой стороне, которая, в свою очередь, обещала приобрести его. При этом, оговаривались правовые </w:t>
      </w:r>
      <w:r>
        <w:rPr>
          <w:rFonts w:ascii="Times New Roman" w:hAnsi="Times New Roman" w:cs="Times New Roman"/>
          <w:sz w:val="24"/>
          <w:szCs w:val="24"/>
        </w:rPr>
        <w:lastRenderedPageBreak/>
        <w:t>моменты, важные для такой сделки, и их было принято оформлять документально (запродажные записи)</w:t>
      </w:r>
      <w:r>
        <w:rPr>
          <w:rStyle w:val="a7"/>
          <w:rFonts w:ascii="Times New Roman" w:hAnsi="Times New Roman" w:cs="Times New Roman"/>
          <w:sz w:val="24"/>
          <w:szCs w:val="24"/>
        </w:rPr>
        <w:footnoteReference w:id="54"/>
      </w:r>
      <w:r>
        <w:rPr>
          <w:rFonts w:ascii="Times New Roman" w:hAnsi="Times New Roman" w:cs="Times New Roman"/>
          <w:sz w:val="24"/>
          <w:szCs w:val="24"/>
        </w:rPr>
        <w:t>.</w:t>
      </w:r>
    </w:p>
    <w:p w14:paraId="413AB992"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Послереволюционный ГК РСФСР, вышедший в 1922 году</w:t>
      </w:r>
      <w:r>
        <w:rPr>
          <w:rStyle w:val="a7"/>
          <w:rFonts w:ascii="Times New Roman" w:hAnsi="Times New Roman" w:cs="Times New Roman"/>
          <w:sz w:val="24"/>
          <w:szCs w:val="24"/>
        </w:rPr>
        <w:footnoteReference w:id="55"/>
      </w:r>
      <w:r>
        <w:rPr>
          <w:rFonts w:ascii="Times New Roman" w:hAnsi="Times New Roman" w:cs="Times New Roman"/>
          <w:sz w:val="24"/>
          <w:szCs w:val="24"/>
        </w:rPr>
        <w:t>, имел конструкции правового характера, аналогичные современному предварительному договору, в двух нормированных видах, это:</w:t>
      </w:r>
    </w:p>
    <w:p w14:paraId="04EDEEFC"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1) заранее оформленное соглашение, предшествующее договору купли/продажи здания или иного строения по регламенту статьи 182 ГК РСФСР;</w:t>
      </w:r>
    </w:p>
    <w:p w14:paraId="36F5DDF7"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 планируемый заёмный договор, составленный по канонам статей 218 и 219 ГК РСФСР. В нём допускался отказ от обязательств, если одна из сторон их не соблюдала, и данная ситуация могла перейти в судебное разбирательство. Однако этот вид соглашений более касался финансового обеспечения сделки с собственностью, где важным являлось материальное положение заёмщика и необходимость долга, как непременного атрибута сделки. На этом уровне, судебная помощь не предусматривалась, и контрагенты сами решали, как поступить.</w:t>
      </w:r>
    </w:p>
    <w:p w14:paraId="11510AD9"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Конструкция предварительного договора, какой мы её знаем сейчас, использовалась для фиксации достигнутых сторонами соглашений и определяла действия сторон в целях заключения основного договора. Сама история становления института предварительного договора насчитывает несколько веков.</w:t>
      </w:r>
    </w:p>
    <w:p w14:paraId="6D19F08F"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Данный договор был значимым инструментом в гражданско-правовой сфере, однако он не получил достаточно глубокой проработки и развития в отечественном гражданском праве. До введения в действие ст.60 «Основ гражданского законодательства» 1991 г.</w:t>
      </w:r>
      <w:r>
        <w:rPr>
          <w:rStyle w:val="a7"/>
          <w:rFonts w:ascii="Times New Roman" w:hAnsi="Times New Roman" w:cs="Times New Roman"/>
          <w:sz w:val="24"/>
          <w:szCs w:val="24"/>
        </w:rPr>
        <w:footnoteReference w:id="56"/>
      </w:r>
      <w:r>
        <w:rPr>
          <w:rFonts w:ascii="Times New Roman" w:hAnsi="Times New Roman" w:cs="Times New Roman"/>
          <w:sz w:val="24"/>
          <w:szCs w:val="24"/>
        </w:rPr>
        <w:t xml:space="preserve"> гражданским законодательством не предусматривалась возможность заключения такой формы договора, как предварительный договор</w:t>
      </w:r>
      <w:r>
        <w:rPr>
          <w:rStyle w:val="a7"/>
          <w:rFonts w:ascii="Times New Roman" w:hAnsi="Times New Roman" w:cs="Times New Roman"/>
          <w:sz w:val="24"/>
          <w:szCs w:val="24"/>
        </w:rPr>
        <w:footnoteReference w:id="57"/>
      </w:r>
      <w:r>
        <w:rPr>
          <w:rFonts w:ascii="Times New Roman" w:hAnsi="Times New Roman" w:cs="Times New Roman"/>
          <w:sz w:val="24"/>
          <w:szCs w:val="24"/>
        </w:rPr>
        <w:t>. Несмотря на это, заключение подобных соглашений не запрещалось, так как в них не находилось признаков противозаконности и противоречий действующему ГК Российской Федерации.</w:t>
      </w:r>
    </w:p>
    <w:p w14:paraId="172E93F7"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Кодекс, действующий при царском режиме и дореволюционном временном правительстве, содержал правовые нормативы для «запродажи»</w:t>
      </w:r>
      <w:r>
        <w:rPr>
          <w:rStyle w:val="a7"/>
          <w:rFonts w:ascii="Times New Roman" w:hAnsi="Times New Roman" w:cs="Times New Roman"/>
          <w:sz w:val="24"/>
          <w:szCs w:val="24"/>
        </w:rPr>
        <w:footnoteReference w:id="58"/>
      </w:r>
      <w:r>
        <w:rPr>
          <w:rFonts w:ascii="Times New Roman" w:hAnsi="Times New Roman" w:cs="Times New Roman"/>
          <w:sz w:val="24"/>
          <w:szCs w:val="24"/>
        </w:rPr>
        <w:t>. По соглашению, предшествующему вступление в сделку участников, ответственность не предусматривалась, когда как нарушение основных договорённостей влекло за собой материальные кары и даже судебные тяжбы, приводящие к полному возмещению урона от несостоявшихся финансовых или материальных связей.</w:t>
      </w:r>
    </w:p>
    <w:p w14:paraId="70EF2180"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Заключение договоров всегда сопровождалось препятствиями, и предварительное соглашение служило буфером для гражданского оборота. Оно играло роль регулятора, исключая разногласия и недоступность каких-либо исполнительных моментов. Важно учесть, что предметом, участвующем в купле, продаже или обмене в рамках «запродажи» могли выступать объекты, которые оставались в пределах оборота гражданского значения.</w:t>
      </w:r>
    </w:p>
    <w:p w14:paraId="20E5233D"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Запродажные соглашения были частым сопровождением сделок в России дореволюционных времён, но и после октябрьских событий, они сохранились на законодательном уровне. Однако, если говорить о легальности определения и основ для предварительной договорённости, то её не существовало в Гражданском Кодексе от 1922 года</w:t>
      </w:r>
      <w:r>
        <w:rPr>
          <w:rStyle w:val="a7"/>
          <w:rFonts w:ascii="Times New Roman" w:hAnsi="Times New Roman" w:cs="Times New Roman"/>
          <w:sz w:val="24"/>
          <w:szCs w:val="24"/>
        </w:rPr>
        <w:footnoteReference w:id="59"/>
      </w:r>
      <w:r>
        <w:rPr>
          <w:rFonts w:ascii="Times New Roman" w:hAnsi="Times New Roman" w:cs="Times New Roman"/>
          <w:sz w:val="24"/>
          <w:szCs w:val="24"/>
        </w:rPr>
        <w:t xml:space="preserve">. Документами, совсем не содержащими нормативов, эти положения не являлись, </w:t>
      </w:r>
      <w:r>
        <w:rPr>
          <w:rFonts w:ascii="Times New Roman" w:hAnsi="Times New Roman" w:cs="Times New Roman"/>
          <w:sz w:val="24"/>
          <w:szCs w:val="24"/>
        </w:rPr>
        <w:lastRenderedPageBreak/>
        <w:t>поскольку два базовых правила всё же существовало, это обязательная запродажная запись, оформленная по всем принятым регламентам, и выделение предварительных соглашений, которые заключались в границах денежного займа, положения о которых содержались в182-ой и 218 статье соответственно.</w:t>
      </w:r>
    </w:p>
    <w:p w14:paraId="118598D4"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Однако М.М. Агарков в своей статье «Юридическая природа железнодорожной перевозки», опубликованной в двух номерах журнала «Право и жизнь» за 1922 г. (Право и жизнь, 1992. №2, 3) подвергал сомнению существование конструкции предварительного договора</w:t>
      </w:r>
      <w:r>
        <w:rPr>
          <w:rStyle w:val="a7"/>
          <w:rFonts w:ascii="Times New Roman" w:hAnsi="Times New Roman" w:cs="Times New Roman"/>
          <w:sz w:val="24"/>
          <w:szCs w:val="24"/>
        </w:rPr>
        <w:footnoteReference w:id="60"/>
      </w:r>
      <w:r>
        <w:rPr>
          <w:rFonts w:ascii="Times New Roman" w:hAnsi="Times New Roman" w:cs="Times New Roman"/>
          <w:sz w:val="24"/>
          <w:szCs w:val="24"/>
        </w:rPr>
        <w:t>. Диаметральную позицию занимал И.Б. Новицкий, который, на основании анализа зарубежной практики, обосновывал практическую потребность советского гражданского оборота в такой конструкции предварительного договора. Свою позицию он отразил в исследовании 1947 г. «Обязательство заключить договор»</w:t>
      </w:r>
      <w:r>
        <w:rPr>
          <w:rStyle w:val="a7"/>
          <w:rFonts w:ascii="Times New Roman" w:hAnsi="Times New Roman" w:cs="Times New Roman"/>
          <w:sz w:val="24"/>
          <w:szCs w:val="24"/>
        </w:rPr>
        <w:footnoteReference w:id="61"/>
      </w:r>
      <w:r>
        <w:rPr>
          <w:rFonts w:ascii="Times New Roman" w:hAnsi="Times New Roman" w:cs="Times New Roman"/>
          <w:sz w:val="24"/>
          <w:szCs w:val="24"/>
        </w:rPr>
        <w:t>.</w:t>
      </w:r>
    </w:p>
    <w:p w14:paraId="4D44C34C"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Во времена СССР, в законодательстве Республик, действовала статья 60 ГК, в которой закреплялось понятие предварительного соглашения. Оно имело много общего с действующим определением договора, регламентирующего договорные отношения</w:t>
      </w:r>
      <w:r>
        <w:rPr>
          <w:rStyle w:val="a7"/>
          <w:rFonts w:ascii="Times New Roman" w:hAnsi="Times New Roman" w:cs="Times New Roman"/>
          <w:sz w:val="24"/>
          <w:szCs w:val="24"/>
        </w:rPr>
        <w:footnoteReference w:id="62"/>
      </w:r>
      <w:r>
        <w:rPr>
          <w:rFonts w:ascii="Times New Roman" w:hAnsi="Times New Roman" w:cs="Times New Roman"/>
          <w:sz w:val="24"/>
          <w:szCs w:val="24"/>
        </w:rPr>
        <w:t>. Если рассматривать правовую сторону, то можно заметить видовую принадлежность предварительного договора к разряду актов гражданско-правового характера, структурирование которых проводится по пункту 1 статьи 429 Гражданского Кодекса РФ</w:t>
      </w:r>
      <w:r>
        <w:rPr>
          <w:rStyle w:val="a7"/>
          <w:rFonts w:ascii="Times New Roman" w:hAnsi="Times New Roman" w:cs="Times New Roman"/>
          <w:sz w:val="24"/>
          <w:szCs w:val="24"/>
        </w:rPr>
        <w:footnoteReference w:id="63"/>
      </w:r>
      <w:r>
        <w:rPr>
          <w:rFonts w:ascii="Times New Roman" w:hAnsi="Times New Roman" w:cs="Times New Roman"/>
          <w:sz w:val="24"/>
          <w:szCs w:val="24"/>
        </w:rPr>
        <w:t>. В них прописывался регламент отношений между сторонами, вступающих в материальные/финансовые связи. Здесь, предварительное соглашение являлось отправной точкой для последующих взаимодействий, будь то объекты сделок, обслуживание или выполненная работа.</w:t>
      </w:r>
    </w:p>
    <w:p w14:paraId="620522FC"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следующем Гражданском Кодексе РСФСР, увидевшем свет в 1964 году</w:t>
      </w:r>
      <w:r>
        <w:rPr>
          <w:rStyle w:val="a7"/>
          <w:rFonts w:ascii="Times New Roman" w:hAnsi="Times New Roman" w:cs="Times New Roman"/>
          <w:sz w:val="24"/>
          <w:szCs w:val="24"/>
        </w:rPr>
        <w:footnoteReference w:id="64"/>
      </w:r>
      <w:r>
        <w:rPr>
          <w:rFonts w:ascii="Times New Roman" w:hAnsi="Times New Roman" w:cs="Times New Roman"/>
          <w:sz w:val="24"/>
          <w:szCs w:val="24"/>
        </w:rPr>
        <w:t>, упоминаний о предварительных соглашениях не было в принципе, и эта тенденция касалась тех правовых конструкций, которые использовались в ГК от 1922 года</w:t>
      </w:r>
      <w:r>
        <w:rPr>
          <w:rStyle w:val="a7"/>
          <w:rFonts w:ascii="Times New Roman" w:hAnsi="Times New Roman" w:cs="Times New Roman"/>
          <w:sz w:val="24"/>
          <w:szCs w:val="24"/>
        </w:rPr>
        <w:footnoteReference w:id="65"/>
      </w:r>
      <w:r>
        <w:rPr>
          <w:rFonts w:ascii="Times New Roman" w:hAnsi="Times New Roman" w:cs="Times New Roman"/>
          <w:sz w:val="24"/>
          <w:szCs w:val="24"/>
        </w:rPr>
        <w:t>. Несмотря на отсутствие законодательного контроля, договоры предварительного значения имели место на практике, и их необходимость сомнений не вызывала, поскольку их регулирующая функция была достаточно важной. Так как данный вид соглашений напрямую не исключался, то был использован принцип: «Что не запрещено, то разрешено» (автором актуальной фразы считается Н. И. Матузов), поэтому можно было руководствоваться статьёй 4 ГК РСФСР от 1964 года и вступать в предварительные договорённости в отношении объектов гражданского оборота</w:t>
      </w:r>
      <w:r>
        <w:rPr>
          <w:rStyle w:val="a7"/>
          <w:rFonts w:ascii="Times New Roman" w:hAnsi="Times New Roman" w:cs="Times New Roman"/>
          <w:sz w:val="24"/>
          <w:szCs w:val="24"/>
        </w:rPr>
        <w:footnoteReference w:id="66"/>
      </w:r>
      <w:r>
        <w:rPr>
          <w:rFonts w:ascii="Times New Roman" w:hAnsi="Times New Roman" w:cs="Times New Roman"/>
          <w:sz w:val="24"/>
          <w:szCs w:val="24"/>
        </w:rPr>
        <w:t>.</w:t>
      </w:r>
    </w:p>
    <w:p w14:paraId="7A1BF85B"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Необходимость выделить основные критерии, регулирующие предварительные соглашения назрела к 90-м годам прошлого столетия. В 1991 году, нормативы-регуляторы были закреплены законодательно, а именно, их внесли в статью 60, действующего на тот момент, Гражданского Кодекса СССР. В данном кодексе имелись положения, закрепляющие документальное оформление договоров предварительного характера, которые служили начальной стадией для заключения полномасштабного договора, включающего сроки, цены и прочие сопроводительные условия по сделкам, выполнению работ и получению услуг. Ответственность за невыполнение соглашений предусматривалась в базовых договорах. Она распространялась на материальные и финансовые активы нарушителя, давая возможность </w:t>
      </w:r>
      <w:r>
        <w:rPr>
          <w:rFonts w:ascii="Times New Roman" w:hAnsi="Times New Roman" w:cs="Times New Roman"/>
          <w:sz w:val="24"/>
          <w:szCs w:val="24"/>
        </w:rPr>
        <w:lastRenderedPageBreak/>
        <w:t>оппоненту обратиться в суд. В свою очередь суд, мог вынести решение, по которому договоры заключались в вынужденном порядке, со всеми вытекающими последствиями, в виде возмещения ущерба, понесённого при неисполнении или образовавшейся просрочкой, если дело касалось долгов по кредитам.</w:t>
      </w:r>
    </w:p>
    <w:p w14:paraId="1E13C0F5" w14:textId="684EF79A"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Действующий Гражданский кодекс Российской Федерации (далее - ГК РФ) содержит общие положения о предварительном договоре и выделяет особую статью 429 ГК. Из диспозиции данной статьи следует, что предварительный договор представляет собой специальную договорную конструкцию, основным признаком которой является то обстоятельство, что содержание обязательств сторон, порождаемых предварительным договором, составляют не действия сторон по передаче товаров, оказанию услуг и т.п., а лишь действия по заключению в будущем соответствующего гражданско-правового договора. Заключая такой предварительный договор, стороны принимают на себя обязательство в установленный срок окончательно оформить свои договорные отношения, путем заключения основного договора.</w:t>
      </w:r>
      <w:r w:rsidR="004E6A89">
        <w:rPr>
          <w:rFonts w:ascii="Times New Roman" w:hAnsi="Times New Roman" w:cs="Times New Roman"/>
          <w:sz w:val="24"/>
          <w:szCs w:val="24"/>
        </w:rPr>
        <w:t xml:space="preserve"> Важное значение предварительный договор имеет в отношении достаточно «новых» отношений, в частности, по геологическому изучению недр</w:t>
      </w:r>
      <w:r w:rsidR="004E6A89">
        <w:rPr>
          <w:rStyle w:val="a7"/>
          <w:rFonts w:ascii="Times New Roman" w:hAnsi="Times New Roman" w:cs="Times New Roman"/>
          <w:sz w:val="24"/>
          <w:szCs w:val="24"/>
        </w:rPr>
        <w:footnoteReference w:id="67"/>
      </w:r>
      <w:r w:rsidR="004E6A89">
        <w:rPr>
          <w:rFonts w:ascii="Times New Roman" w:hAnsi="Times New Roman" w:cs="Times New Roman"/>
          <w:sz w:val="24"/>
          <w:szCs w:val="24"/>
        </w:rPr>
        <w:t>.</w:t>
      </w:r>
    </w:p>
    <w:p w14:paraId="76DE4141"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Как не сложно заметить, правовой институт, включающий договоры предварительного значения, был неоднократно реформирован. Его становление произошло во времена «запродаж», когда именно этот термин лежат в основе договорной классификации. Определение, ныне устаревшее, тем не менее, нашло своё продолжение в современных законодательных реалиях и том Гражданском Кодексе, который действовал на постсоветском пространстве, когда СССР, как государство подлежало упразднению, а современный свод Российской Федерации ещё не был официально установлен. Уже тогда начали формироваться правовые конструкции, цели и направления, актуальные и на сегодняшний день.</w:t>
      </w:r>
    </w:p>
    <w:p w14:paraId="477A5B0A" w14:textId="77777777" w:rsidR="001B6C3B" w:rsidRDefault="001B6C3B" w:rsidP="001B6C3B">
      <w:pPr>
        <w:spacing w:after="0" w:line="240" w:lineRule="auto"/>
        <w:jc w:val="both"/>
        <w:rPr>
          <w:rFonts w:ascii="Times New Roman" w:hAnsi="Times New Roman" w:cs="Times New Roman"/>
          <w:sz w:val="24"/>
          <w:szCs w:val="24"/>
        </w:rPr>
      </w:pPr>
    </w:p>
    <w:p w14:paraId="3C03755C" w14:textId="77777777" w:rsidR="001B6C3B" w:rsidRDefault="001B6C3B" w:rsidP="001B6C3B">
      <w:pPr>
        <w:spacing w:after="0" w:line="240" w:lineRule="auto"/>
        <w:ind w:firstLine="709"/>
        <w:jc w:val="both"/>
        <w:rPr>
          <w:rFonts w:ascii="Times New Roman" w:hAnsi="Times New Roman" w:cs="Times New Roman"/>
          <w:b/>
          <w:sz w:val="24"/>
          <w:szCs w:val="24"/>
        </w:rPr>
      </w:pPr>
      <w:r>
        <w:rPr>
          <w:rFonts w:ascii="Times New Roman" w:hAnsi="Times New Roman" w:cs="Times New Roman"/>
          <w:b/>
          <w:sz w:val="24"/>
          <w:szCs w:val="24"/>
        </w:rPr>
        <w:t>Библиографический список</w:t>
      </w:r>
    </w:p>
    <w:p w14:paraId="6BBA2562" w14:textId="77777777" w:rsidR="001B6C3B" w:rsidRDefault="001B6C3B" w:rsidP="001B6C3B">
      <w:pPr>
        <w:spacing w:after="0" w:line="240" w:lineRule="auto"/>
        <w:ind w:firstLine="709"/>
        <w:jc w:val="both"/>
        <w:rPr>
          <w:rFonts w:ascii="Times New Roman" w:hAnsi="Times New Roman" w:cs="Times New Roman"/>
          <w:sz w:val="24"/>
          <w:szCs w:val="24"/>
        </w:rPr>
      </w:pPr>
    </w:p>
    <w:p w14:paraId="5F390E12" w14:textId="77777777" w:rsidR="001B6C3B" w:rsidRDefault="001B6C3B" w:rsidP="00E3198A">
      <w:pPr>
        <w:numPr>
          <w:ilvl w:val="0"/>
          <w:numId w:val="9"/>
        </w:num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Агарков М. М. Юридическая природа железнодорожной перевозки // Вестник гражданского права. 2008. </w:t>
      </w:r>
      <w:r>
        <w:rPr>
          <w:rFonts w:ascii="Times New Roman" w:eastAsia="Segoe UI Symbol" w:hAnsi="Times New Roman" w:cs="Times New Roman"/>
          <w:sz w:val="24"/>
          <w:szCs w:val="24"/>
        </w:rPr>
        <w:t>№</w:t>
      </w:r>
      <w:r>
        <w:rPr>
          <w:rFonts w:ascii="Times New Roman" w:hAnsi="Times New Roman" w:cs="Times New Roman"/>
          <w:sz w:val="24"/>
          <w:szCs w:val="24"/>
        </w:rPr>
        <w:t xml:space="preserve"> 4. [Электронный ресурс]: URL: </w:t>
      </w:r>
      <w:hyperlink r:id="rId17" w:history="1">
        <w:r>
          <w:rPr>
            <w:rStyle w:val="a9"/>
            <w:rFonts w:ascii="Times New Roman" w:hAnsi="Times New Roman" w:cs="Times New Roman"/>
            <w:sz w:val="24"/>
            <w:szCs w:val="24"/>
          </w:rPr>
          <w:t>http://lawlibrary.ru/</w:t>
        </w:r>
      </w:hyperlink>
      <w:r>
        <w:rPr>
          <w:rFonts w:ascii="Times New Roman" w:hAnsi="Times New Roman" w:cs="Times New Roman"/>
          <w:sz w:val="24"/>
          <w:szCs w:val="24"/>
        </w:rPr>
        <w:t>.</w:t>
      </w:r>
    </w:p>
    <w:p w14:paraId="2ADDB0EA" w14:textId="77777777" w:rsidR="001B6C3B" w:rsidRDefault="001B6C3B" w:rsidP="00E3198A">
      <w:pPr>
        <w:numPr>
          <w:ilvl w:val="0"/>
          <w:numId w:val="9"/>
        </w:num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Богданова Е.Е. Понуждение к заключению договора // Право и экономика. № 1. - 2005. – С. 89.</w:t>
      </w:r>
    </w:p>
    <w:p w14:paraId="15D8DBD3" w14:textId="77777777" w:rsidR="001B6C3B" w:rsidRDefault="001B6C3B" w:rsidP="00E3198A">
      <w:pPr>
        <w:numPr>
          <w:ilvl w:val="0"/>
          <w:numId w:val="9"/>
        </w:num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Вошатко A.B. Договор уступки и каузальная сделка // Очерки по торговому праву. Вып. 8. – Ярославль. - 2001. – С. 57.</w:t>
      </w:r>
    </w:p>
    <w:p w14:paraId="3B75E6D3" w14:textId="77777777" w:rsidR="001B6C3B" w:rsidRDefault="001B6C3B" w:rsidP="00E3198A">
      <w:pPr>
        <w:numPr>
          <w:ilvl w:val="0"/>
          <w:numId w:val="9"/>
        </w:num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Гражданское право: В 4 т. Т. 1. Общая часть. Учебник / Под ред. Е.А. Суханова. 3-е изд., перераб. и доп. — М.: Волтерс Клувер, 2008. – 86 с.</w:t>
      </w:r>
    </w:p>
    <w:p w14:paraId="3524F6D5" w14:textId="77777777" w:rsidR="001B6C3B" w:rsidRDefault="001B6C3B" w:rsidP="00E3198A">
      <w:pPr>
        <w:numPr>
          <w:ilvl w:val="0"/>
          <w:numId w:val="9"/>
        </w:num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Гражданское право: Учебник: В 3-х т. Т.1 / Под ред. А.П. Сергеева, Ю.К. Толстого. 9-е изд., перераб. и доп. — М.: ТК Велби, 2004. – 49 с.</w:t>
      </w:r>
    </w:p>
    <w:p w14:paraId="661E1C79" w14:textId="77777777" w:rsidR="001B6C3B" w:rsidRDefault="001B6C3B" w:rsidP="00E3198A">
      <w:pPr>
        <w:numPr>
          <w:ilvl w:val="0"/>
          <w:numId w:val="9"/>
        </w:num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Гражданское право: Учебник / Под. ред. Т. И. Илларионовой, Б. М. Гон-гало, В.А. Плетнева. -М.: Норма, 2001. – 87 с.</w:t>
      </w:r>
    </w:p>
    <w:p w14:paraId="2C3738A8" w14:textId="77777777" w:rsidR="001B6C3B" w:rsidRDefault="001B6C3B" w:rsidP="00E3198A">
      <w:pPr>
        <w:numPr>
          <w:ilvl w:val="0"/>
          <w:numId w:val="9"/>
        </w:num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Долгаев С.Е. Вопросы квалификации опционной сделки // Вестник Волжского университета. Вып. 21, 2002. – 72 с.</w:t>
      </w:r>
    </w:p>
    <w:p w14:paraId="5D8551AE" w14:textId="77777777" w:rsidR="001B6C3B" w:rsidRDefault="001B6C3B" w:rsidP="00E3198A">
      <w:pPr>
        <w:numPr>
          <w:ilvl w:val="0"/>
          <w:numId w:val="9"/>
        </w:num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Дроздова Т.Ю. Добросовестность в российском гражданском праве. Ав-тореф. дисс. на соиск. уч. ст. к.ю.н. — М., 2005. – 46 с.</w:t>
      </w:r>
    </w:p>
    <w:p w14:paraId="5E9B7972" w14:textId="77777777" w:rsidR="001B6C3B" w:rsidRDefault="001B6C3B" w:rsidP="00E3198A">
      <w:pPr>
        <w:numPr>
          <w:ilvl w:val="0"/>
          <w:numId w:val="9"/>
        </w:num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Ермошкина М.Ф. Задаток: проблемы и новые возможности // Меры обеспечения и меры ответственности в гражданском праве: Сб. статей / Рук. авт. кол. и отв. ред. М.А. Рожкова. — М.: Статут, 2010. – 65 с.</w:t>
      </w:r>
    </w:p>
    <w:p w14:paraId="0D8EE036" w14:textId="77777777" w:rsidR="001B6C3B" w:rsidRDefault="001B6C3B" w:rsidP="00E3198A">
      <w:pPr>
        <w:numPr>
          <w:ilvl w:val="0"/>
          <w:numId w:val="9"/>
        </w:num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Ефимова Л.Г. Рамочные (организационные) договоры. — М.: Волтерс Клувер, 2006. — 84 с. </w:t>
      </w:r>
      <w:r>
        <w:rPr>
          <w:rFonts w:ascii="Times New Roman" w:hAnsi="Times New Roman" w:cs="Times New Roman"/>
          <w:sz w:val="24"/>
          <w:szCs w:val="24"/>
        </w:rPr>
        <w:softHyphen/>
      </w:r>
    </w:p>
    <w:p w14:paraId="3D3C2A45" w14:textId="77777777" w:rsidR="001B6C3B" w:rsidRDefault="001B6C3B" w:rsidP="00E3198A">
      <w:pPr>
        <w:numPr>
          <w:ilvl w:val="0"/>
          <w:numId w:val="9"/>
        </w:num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Красавчиков O.A. Советский гражданский оборот (понятие и основные звенья) // Вопросы гражданского, трудового права и гражданского процесса. Ученые записки СЮИ. Т. V. -М.: Госюриздат, 1957. – 78 с.</w:t>
      </w:r>
    </w:p>
    <w:p w14:paraId="482E6AD0" w14:textId="77777777" w:rsidR="001B6C3B" w:rsidRDefault="001B6C3B" w:rsidP="00E3198A">
      <w:pPr>
        <w:numPr>
          <w:ilvl w:val="0"/>
          <w:numId w:val="9"/>
        </w:num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Красавчиков O.A. Юридические факты в советском гражданском праве // Категории науки гражданского права. Избранные труды: В 2 т. Т. 2. -М.: Статут, 2005. – 96 с.</w:t>
      </w:r>
    </w:p>
    <w:p w14:paraId="37C48DEC" w14:textId="77777777" w:rsidR="001B6C3B" w:rsidRDefault="001B6C3B" w:rsidP="00E3198A">
      <w:pPr>
        <w:pStyle w:val="a4"/>
        <w:numPr>
          <w:ilvl w:val="0"/>
          <w:numId w:val="9"/>
        </w:num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Кокорин И. С. Соотношение предварительного и организационного договора // Царскосельские чтения. 2012. [Электронный ресурс]: URL: https://cyberleninka.ru/.</w:t>
      </w:r>
    </w:p>
    <w:p w14:paraId="0A8560D8" w14:textId="645E6C72" w:rsidR="001B6C3B" w:rsidRPr="004E6A89" w:rsidRDefault="001B6C3B" w:rsidP="00E3198A">
      <w:pPr>
        <w:numPr>
          <w:ilvl w:val="0"/>
          <w:numId w:val="9"/>
        </w:num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Новицкий И.Б. Обязательство заключить договор // Избранные труды по </w:t>
      </w:r>
      <w:r w:rsidRPr="004E6A89">
        <w:rPr>
          <w:rFonts w:ascii="Times New Roman" w:hAnsi="Times New Roman" w:cs="Times New Roman"/>
          <w:sz w:val="24"/>
          <w:szCs w:val="24"/>
        </w:rPr>
        <w:t xml:space="preserve">гражданскому праву. В 2 т. Т. I. Москва. 2006. [Электронный ресурс]: URL: </w:t>
      </w:r>
      <w:hyperlink r:id="rId18" w:history="1">
        <w:r w:rsidR="004E6A89" w:rsidRPr="004E6A89">
          <w:rPr>
            <w:rStyle w:val="a9"/>
            <w:rFonts w:ascii="Times New Roman" w:hAnsi="Times New Roman" w:cs="Times New Roman"/>
            <w:sz w:val="24"/>
            <w:szCs w:val="24"/>
          </w:rPr>
          <w:t>http://lawlibrary.ru/</w:t>
        </w:r>
      </w:hyperlink>
      <w:r w:rsidRPr="004E6A89">
        <w:rPr>
          <w:rFonts w:ascii="Times New Roman" w:hAnsi="Times New Roman" w:cs="Times New Roman"/>
          <w:sz w:val="24"/>
          <w:szCs w:val="24"/>
        </w:rPr>
        <w:t>.</w:t>
      </w:r>
    </w:p>
    <w:p w14:paraId="4589440B" w14:textId="554BC1C4" w:rsidR="004E6A89" w:rsidRPr="004E6A89" w:rsidRDefault="004E6A89" w:rsidP="00E3198A">
      <w:pPr>
        <w:numPr>
          <w:ilvl w:val="0"/>
          <w:numId w:val="9"/>
        </w:numPr>
        <w:spacing w:after="0" w:line="240" w:lineRule="auto"/>
        <w:ind w:firstLine="709"/>
        <w:jc w:val="both"/>
        <w:rPr>
          <w:rFonts w:ascii="Times New Roman" w:hAnsi="Times New Roman" w:cs="Times New Roman"/>
          <w:sz w:val="24"/>
          <w:szCs w:val="24"/>
        </w:rPr>
      </w:pPr>
      <w:r w:rsidRPr="004E6A89">
        <w:rPr>
          <w:rFonts w:ascii="Times New Roman" w:hAnsi="Times New Roman" w:cs="Times New Roman"/>
          <w:sz w:val="24"/>
          <w:szCs w:val="24"/>
        </w:rPr>
        <w:t>Поленов Р.В. Особенности правового регулирования договорных отношений в сфере геологического изучения на участках недр континентального шельфа // Власть закона. - 2018. - № 4.  - С. 166-174.</w:t>
      </w:r>
    </w:p>
    <w:p w14:paraId="39E0E43C" w14:textId="77777777" w:rsidR="001B6C3B" w:rsidRPr="004E6A89" w:rsidRDefault="001B6C3B" w:rsidP="00E3198A">
      <w:pPr>
        <w:numPr>
          <w:ilvl w:val="0"/>
          <w:numId w:val="9"/>
        </w:numPr>
        <w:spacing w:after="0" w:line="240" w:lineRule="auto"/>
        <w:ind w:firstLine="709"/>
        <w:jc w:val="both"/>
        <w:rPr>
          <w:rFonts w:ascii="Times New Roman" w:hAnsi="Times New Roman" w:cs="Times New Roman"/>
          <w:sz w:val="24"/>
          <w:szCs w:val="24"/>
        </w:rPr>
      </w:pPr>
      <w:r w:rsidRPr="004E6A89">
        <w:rPr>
          <w:rFonts w:ascii="Times New Roman" w:hAnsi="Times New Roman" w:cs="Times New Roman"/>
          <w:sz w:val="24"/>
          <w:szCs w:val="24"/>
        </w:rPr>
        <w:t>Шершеневич Г.Ф. Курс гражданского права / Г.Ф. Шершеневич. Особенная часть. - Тула: Автограф, 2001. - С. 423.</w:t>
      </w:r>
    </w:p>
    <w:p w14:paraId="03A09A42" w14:textId="77777777" w:rsidR="001B6C3B" w:rsidRDefault="001B6C3B" w:rsidP="00E3198A">
      <w:pPr>
        <w:numPr>
          <w:ilvl w:val="0"/>
          <w:numId w:val="9"/>
        </w:numPr>
        <w:spacing w:after="0" w:line="240" w:lineRule="auto"/>
        <w:ind w:firstLine="709"/>
        <w:jc w:val="both"/>
        <w:rPr>
          <w:rFonts w:ascii="Times New Roman" w:hAnsi="Times New Roman" w:cs="Times New Roman"/>
          <w:sz w:val="24"/>
          <w:szCs w:val="24"/>
        </w:rPr>
      </w:pPr>
      <w:r w:rsidRPr="004E6A89">
        <w:rPr>
          <w:rFonts w:ascii="Times New Roman" w:hAnsi="Times New Roman" w:cs="Times New Roman"/>
          <w:sz w:val="24"/>
          <w:szCs w:val="24"/>
        </w:rPr>
        <w:t>Шершеневич</w:t>
      </w:r>
      <w:r>
        <w:rPr>
          <w:rFonts w:ascii="Times New Roman" w:hAnsi="Times New Roman" w:cs="Times New Roman"/>
          <w:sz w:val="24"/>
          <w:szCs w:val="24"/>
        </w:rPr>
        <w:t xml:space="preserve"> Г.Ф. Курс гражданского права / Г.Ф. Шершеневич. - Тула: Автограф. - 2001. - С. 424.</w:t>
      </w:r>
    </w:p>
    <w:p w14:paraId="434A7BE4" w14:textId="77777777" w:rsidR="001B6C3B" w:rsidRDefault="001B6C3B" w:rsidP="001B6C3B">
      <w:pPr>
        <w:spacing w:after="0" w:line="240" w:lineRule="auto"/>
        <w:rPr>
          <w:rFonts w:ascii="Times New Roman" w:hAnsi="Times New Roman" w:cs="Times New Roman"/>
          <w:sz w:val="24"/>
          <w:szCs w:val="24"/>
        </w:rPr>
        <w:sectPr w:rsidR="001B6C3B">
          <w:footnotePr>
            <w:numRestart w:val="eachPage"/>
          </w:footnotePr>
          <w:pgSz w:w="11906" w:h="16838"/>
          <w:pgMar w:top="1134" w:right="1134" w:bottom="1134" w:left="1134" w:header="709" w:footer="709" w:gutter="0"/>
          <w:cols w:space="720"/>
        </w:sectPr>
      </w:pPr>
    </w:p>
    <w:p w14:paraId="54E35E33" w14:textId="77777777" w:rsidR="001B6C3B" w:rsidRDefault="001B6C3B" w:rsidP="001B6C3B">
      <w:pPr>
        <w:pStyle w:val="2"/>
        <w:spacing w:before="0" w:beforeAutospacing="0" w:after="0" w:afterAutospacing="0"/>
        <w:ind w:left="4820"/>
        <w:jc w:val="both"/>
        <w:rPr>
          <w:rStyle w:val="FontStyle19"/>
          <w:sz w:val="24"/>
          <w:szCs w:val="24"/>
        </w:rPr>
      </w:pPr>
      <w:r>
        <w:rPr>
          <w:rStyle w:val="FontStyle19"/>
          <w:sz w:val="24"/>
          <w:szCs w:val="24"/>
        </w:rPr>
        <w:lastRenderedPageBreak/>
        <w:t>УДК 347.72.032</w:t>
      </w:r>
    </w:p>
    <w:p w14:paraId="31A19DA0" w14:textId="77777777" w:rsidR="001B6C3B" w:rsidRDefault="001B6C3B" w:rsidP="001B6C3B">
      <w:pPr>
        <w:spacing w:after="0" w:line="240" w:lineRule="auto"/>
        <w:ind w:left="4820" w:firstLine="709"/>
        <w:jc w:val="both"/>
      </w:pPr>
    </w:p>
    <w:p w14:paraId="2028C776" w14:textId="77777777" w:rsidR="001B6C3B" w:rsidRDefault="001B6C3B" w:rsidP="001B6C3B">
      <w:pPr>
        <w:suppressAutoHyphens/>
        <w:spacing w:after="0" w:line="240" w:lineRule="auto"/>
        <w:ind w:left="4820"/>
        <w:jc w:val="both"/>
        <w:rPr>
          <w:rFonts w:ascii="Times New Roman" w:hAnsi="Times New Roman" w:cs="Times New Roman"/>
          <w:b/>
          <w:sz w:val="24"/>
          <w:szCs w:val="24"/>
        </w:rPr>
      </w:pPr>
      <w:r>
        <w:rPr>
          <w:rFonts w:ascii="Times New Roman" w:hAnsi="Times New Roman" w:cs="Times New Roman"/>
          <w:b/>
          <w:sz w:val="24"/>
          <w:szCs w:val="24"/>
        </w:rPr>
        <w:t>Булава Максим Павлович</w:t>
      </w:r>
    </w:p>
    <w:p w14:paraId="5778C685" w14:textId="77777777" w:rsidR="001B6C3B" w:rsidRDefault="001B6C3B" w:rsidP="001B6C3B">
      <w:pPr>
        <w:suppressAutoHyphens/>
        <w:spacing w:after="0" w:line="240" w:lineRule="auto"/>
        <w:ind w:left="4820"/>
        <w:jc w:val="both"/>
        <w:rPr>
          <w:rFonts w:ascii="Times New Roman" w:hAnsi="Times New Roman" w:cs="Times New Roman"/>
          <w:b/>
          <w:sz w:val="24"/>
          <w:szCs w:val="24"/>
        </w:rPr>
      </w:pPr>
      <w:r>
        <w:rPr>
          <w:rFonts w:ascii="Times New Roman" w:hAnsi="Times New Roman" w:cs="Times New Roman"/>
          <w:b/>
          <w:sz w:val="24"/>
          <w:szCs w:val="24"/>
        </w:rPr>
        <w:t>Bulava Maksim Pavlovich</w:t>
      </w:r>
    </w:p>
    <w:p w14:paraId="4F64AF30" w14:textId="77777777" w:rsidR="001B6C3B" w:rsidRDefault="001B6C3B" w:rsidP="001B6C3B">
      <w:pPr>
        <w:spacing w:after="0" w:line="240" w:lineRule="auto"/>
        <w:ind w:left="4820"/>
        <w:jc w:val="both"/>
        <w:rPr>
          <w:rFonts w:ascii="Times New Roman" w:hAnsi="Times New Roman" w:cs="Times New Roman"/>
          <w:sz w:val="24"/>
          <w:szCs w:val="24"/>
        </w:rPr>
      </w:pPr>
      <w:r>
        <w:rPr>
          <w:rFonts w:ascii="Times New Roman" w:hAnsi="Times New Roman" w:cs="Times New Roman"/>
          <w:sz w:val="24"/>
          <w:szCs w:val="24"/>
        </w:rPr>
        <w:t>Аспирант Федеральное государственное бюджетное образовательное учреждение высшего образования «Московский государственный юридический университет имени О.Е.Кутафина»</w:t>
      </w:r>
    </w:p>
    <w:p w14:paraId="64A19A3A" w14:textId="77777777" w:rsidR="001B6C3B" w:rsidRDefault="001B6C3B" w:rsidP="001B6C3B">
      <w:pPr>
        <w:pStyle w:val="ConsPlusNormal"/>
        <w:ind w:left="4820"/>
        <w:jc w:val="both"/>
        <w:rPr>
          <w:lang w:eastAsia="en-US"/>
        </w:rPr>
      </w:pPr>
      <w:r>
        <w:rPr>
          <w:lang w:eastAsia="en-US"/>
        </w:rPr>
        <w:t>Federal State Budgetary Educational Institution of Higher Education “</w:t>
      </w:r>
      <w:r>
        <w:rPr>
          <w:lang w:eastAsia="en-US" w:bidi="en-US"/>
        </w:rPr>
        <w:t>Kutafin Moscow State Law University (MSAL)</w:t>
      </w:r>
      <w:r>
        <w:rPr>
          <w:lang w:eastAsia="en-US"/>
        </w:rPr>
        <w:t>”</w:t>
      </w:r>
    </w:p>
    <w:p w14:paraId="26A6A273" w14:textId="77777777" w:rsidR="001B6C3B" w:rsidRDefault="001B6C3B" w:rsidP="001B6C3B">
      <w:pPr>
        <w:pStyle w:val="ConsPlusNormal"/>
        <w:ind w:left="4820"/>
        <w:jc w:val="both"/>
        <w:rPr>
          <w:lang w:val="ru-RU" w:eastAsia="en-US"/>
        </w:rPr>
      </w:pPr>
      <w:r>
        <w:rPr>
          <w:lang w:val="ru-RU" w:eastAsia="en-US"/>
        </w:rPr>
        <w:t>Российская Федерация, г. Москва</w:t>
      </w:r>
    </w:p>
    <w:p w14:paraId="61B2E786" w14:textId="77777777" w:rsidR="001B6C3B" w:rsidRDefault="001B6C3B" w:rsidP="001B6C3B">
      <w:pPr>
        <w:pStyle w:val="ConsPlusNormal"/>
        <w:ind w:left="4820"/>
        <w:jc w:val="both"/>
        <w:rPr>
          <w:lang w:val="ru-RU" w:eastAsia="en-US"/>
        </w:rPr>
      </w:pPr>
      <w:r>
        <w:rPr>
          <w:lang w:eastAsia="en-US"/>
        </w:rPr>
        <w:t>Russian</w:t>
      </w:r>
      <w:r>
        <w:rPr>
          <w:lang w:val="ru-RU" w:eastAsia="en-US"/>
        </w:rPr>
        <w:t xml:space="preserve"> </w:t>
      </w:r>
      <w:r>
        <w:rPr>
          <w:lang w:eastAsia="en-US"/>
        </w:rPr>
        <w:t>Federation</w:t>
      </w:r>
      <w:r>
        <w:rPr>
          <w:lang w:val="ru-RU" w:eastAsia="en-US"/>
        </w:rPr>
        <w:t xml:space="preserve">, </w:t>
      </w:r>
      <w:r>
        <w:rPr>
          <w:lang w:eastAsia="en-US"/>
        </w:rPr>
        <w:t>Moscow</w:t>
      </w:r>
      <w:r>
        <w:rPr>
          <w:lang w:val="ru-RU" w:eastAsia="en-US"/>
        </w:rPr>
        <w:t xml:space="preserve"> </w:t>
      </w:r>
    </w:p>
    <w:p w14:paraId="2768E00A" w14:textId="77777777" w:rsidR="001B6C3B" w:rsidRDefault="00EE7838" w:rsidP="001B6C3B">
      <w:pPr>
        <w:spacing w:after="0" w:line="240" w:lineRule="auto"/>
        <w:ind w:left="4820"/>
        <w:jc w:val="both"/>
        <w:rPr>
          <w:rFonts w:ascii="Times New Roman" w:hAnsi="Times New Roman" w:cs="Times New Roman"/>
          <w:sz w:val="24"/>
          <w:szCs w:val="24"/>
        </w:rPr>
      </w:pPr>
      <w:hyperlink r:id="rId19" w:history="1">
        <w:r w:rsidR="001B6C3B">
          <w:rPr>
            <w:rStyle w:val="a9"/>
            <w:rFonts w:ascii="Times New Roman" w:hAnsi="Times New Roman" w:cs="Times New Roman"/>
            <w:sz w:val="24"/>
            <w:szCs w:val="24"/>
          </w:rPr>
          <w:t>m.bulava@mail.ru</w:t>
        </w:r>
      </w:hyperlink>
    </w:p>
    <w:p w14:paraId="7D67A9BC" w14:textId="77777777" w:rsidR="001B6C3B" w:rsidRDefault="001B6C3B" w:rsidP="001B6C3B">
      <w:pPr>
        <w:spacing w:after="0" w:line="240" w:lineRule="auto"/>
        <w:ind w:left="4820"/>
        <w:jc w:val="both"/>
        <w:rPr>
          <w:rFonts w:ascii="Times New Roman" w:hAnsi="Times New Roman" w:cs="Times New Roman"/>
          <w:sz w:val="24"/>
          <w:szCs w:val="24"/>
        </w:rPr>
      </w:pPr>
      <w:r>
        <w:rPr>
          <w:rFonts w:ascii="Times New Roman" w:hAnsi="Times New Roman" w:cs="Times New Roman"/>
          <w:sz w:val="24"/>
          <w:szCs w:val="24"/>
        </w:rPr>
        <w:t>Научный Руководитель: д.ю.н., профессор Левушкин Анатолий Николаевич</w:t>
      </w:r>
    </w:p>
    <w:p w14:paraId="0CE783CA" w14:textId="77777777" w:rsidR="001B6C3B" w:rsidRDefault="001B6C3B" w:rsidP="001B6C3B">
      <w:pPr>
        <w:pStyle w:val="Style3"/>
        <w:widowControl/>
        <w:spacing w:line="240" w:lineRule="auto"/>
        <w:ind w:firstLine="709"/>
        <w:rPr>
          <w:rStyle w:val="FontStyle19"/>
          <w:i w:val="0"/>
          <w:caps/>
        </w:rPr>
      </w:pPr>
    </w:p>
    <w:p w14:paraId="28B7A4D7" w14:textId="77777777" w:rsidR="001B6C3B" w:rsidRDefault="001B6C3B" w:rsidP="001B6C3B">
      <w:pPr>
        <w:pStyle w:val="Style3"/>
        <w:widowControl/>
        <w:spacing w:line="240" w:lineRule="auto"/>
        <w:ind w:firstLine="709"/>
        <w:jc w:val="center"/>
        <w:rPr>
          <w:rStyle w:val="FontStyle19"/>
          <w:b/>
          <w:i w:val="0"/>
          <w:caps/>
        </w:rPr>
      </w:pPr>
      <w:r>
        <w:rPr>
          <w:rStyle w:val="FontStyle19"/>
          <w:b/>
          <w:caps/>
        </w:rPr>
        <w:t>Конференция адвокатов как высший орган управления адвокатской палатой субъекта Российской Федерации</w:t>
      </w:r>
    </w:p>
    <w:p w14:paraId="283B9862" w14:textId="77777777" w:rsidR="001B6C3B" w:rsidRDefault="001B6C3B" w:rsidP="001B6C3B">
      <w:pPr>
        <w:pStyle w:val="Style3"/>
        <w:widowControl/>
        <w:spacing w:line="240" w:lineRule="auto"/>
        <w:ind w:firstLine="709"/>
        <w:jc w:val="center"/>
        <w:rPr>
          <w:rStyle w:val="FontStyle19"/>
          <w:b/>
          <w:i w:val="0"/>
          <w:caps/>
        </w:rPr>
      </w:pPr>
    </w:p>
    <w:p w14:paraId="1151BDFF" w14:textId="77777777" w:rsidR="001B6C3B" w:rsidRDefault="001B6C3B" w:rsidP="001B6C3B">
      <w:pPr>
        <w:pStyle w:val="Style3"/>
        <w:spacing w:line="240" w:lineRule="auto"/>
        <w:ind w:firstLine="709"/>
        <w:jc w:val="center"/>
        <w:rPr>
          <w:rStyle w:val="FontStyle19"/>
          <w:b/>
          <w:i w:val="0"/>
          <w:caps/>
          <w:lang w:val="en-US"/>
        </w:rPr>
      </w:pPr>
      <w:r>
        <w:rPr>
          <w:rStyle w:val="FontStyle19"/>
          <w:b/>
          <w:caps/>
          <w:lang w:val="en-US"/>
        </w:rPr>
        <w:t xml:space="preserve">The </w:t>
      </w:r>
      <w:r>
        <w:rPr>
          <w:b/>
          <w:iCs/>
          <w:caps/>
          <w:lang w:val="en-US"/>
        </w:rPr>
        <w:t>CONFERENCE OF LAWYERS AS THE highest management body OF THE Bar assosiation OF THE constituent entity of the Russian Federation</w:t>
      </w:r>
    </w:p>
    <w:p w14:paraId="07F2A3AD" w14:textId="77777777" w:rsidR="001B6C3B" w:rsidRPr="00430C1C" w:rsidRDefault="001B6C3B" w:rsidP="001B6C3B">
      <w:pPr>
        <w:pStyle w:val="Style3"/>
        <w:widowControl/>
        <w:spacing w:line="240" w:lineRule="auto"/>
        <w:ind w:firstLine="709"/>
        <w:rPr>
          <w:lang w:val="en-US"/>
        </w:rPr>
      </w:pPr>
    </w:p>
    <w:p w14:paraId="027DD4A1"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Аннотация: В статье рассматриваются особенности опосредованного участия адвокатов в формировании высшего органа корпоративного управления адвокатской палаты субъекта Российской Федерации, выявляется недостатки законодательства, определяющего полномочия коллегиального исполнительного органа в рамках процедуры избрания делегатов на конференции. На примере формирования конференции адвокатов автор исследует проблему поиска баланса интересов членов некоммерческих корпораций и лиц, входящих в состав исполнительного органа  этих юридических лиц.</w:t>
      </w:r>
    </w:p>
    <w:p w14:paraId="3052E17B" w14:textId="77777777" w:rsidR="001B6C3B" w:rsidRDefault="001B6C3B" w:rsidP="001B6C3B">
      <w:pPr>
        <w:pStyle w:val="Style3"/>
        <w:spacing w:line="240" w:lineRule="auto"/>
        <w:ind w:firstLine="709"/>
        <w:rPr>
          <w:rFonts w:eastAsiaTheme="minorHAnsi"/>
        </w:rPr>
      </w:pPr>
      <w:r>
        <w:rPr>
          <w:bCs/>
        </w:rPr>
        <w:t>Ключевые слова</w:t>
      </w:r>
      <w:r>
        <w:rPr>
          <w:b/>
        </w:rPr>
        <w:t>:</w:t>
      </w:r>
      <w:r>
        <w:rPr>
          <w:i/>
        </w:rPr>
        <w:t xml:space="preserve"> </w:t>
      </w:r>
      <w:r>
        <w:t>адвокатская палата;</w:t>
      </w:r>
      <w:r>
        <w:rPr>
          <w:i/>
        </w:rPr>
        <w:t xml:space="preserve"> </w:t>
      </w:r>
      <w:r>
        <w:t>корпоративное управление; корпоративный контроль; юридические лица; модель управления;</w:t>
      </w:r>
      <w:r>
        <w:rPr>
          <w:rFonts w:eastAsiaTheme="minorHAnsi"/>
        </w:rPr>
        <w:t xml:space="preserve"> </w:t>
      </w:r>
      <w:r>
        <w:t>некоммерческая корпорация;</w:t>
      </w:r>
      <w:r>
        <w:rPr>
          <w:rFonts w:eastAsiaTheme="minorHAnsi"/>
        </w:rPr>
        <w:t xml:space="preserve"> </w:t>
      </w:r>
    </w:p>
    <w:p w14:paraId="76A0FFFA" w14:textId="77777777" w:rsidR="001B6C3B" w:rsidRDefault="001B6C3B" w:rsidP="001B6C3B">
      <w:pPr>
        <w:pStyle w:val="Style3"/>
        <w:spacing w:line="240" w:lineRule="auto"/>
        <w:ind w:firstLine="709"/>
      </w:pPr>
    </w:p>
    <w:p w14:paraId="198917ED" w14:textId="77777777" w:rsidR="001B6C3B" w:rsidRDefault="001B6C3B" w:rsidP="001B6C3B">
      <w:pPr>
        <w:spacing w:after="0" w:line="240" w:lineRule="auto"/>
        <w:ind w:firstLine="709"/>
        <w:jc w:val="both"/>
        <w:rPr>
          <w:rFonts w:ascii="Times New Roman" w:hAnsi="Times New Roman" w:cs="Times New Roman"/>
          <w:iCs/>
          <w:sz w:val="24"/>
          <w:szCs w:val="24"/>
          <w:u w:val="single"/>
          <w:lang w:val="en-US"/>
        </w:rPr>
      </w:pPr>
      <w:r>
        <w:rPr>
          <w:rFonts w:ascii="Times New Roman" w:hAnsi="Times New Roman" w:cs="Times New Roman"/>
          <w:iCs/>
          <w:sz w:val="24"/>
          <w:szCs w:val="24"/>
        </w:rPr>
        <w:t>А</w:t>
      </w:r>
      <w:r>
        <w:rPr>
          <w:rFonts w:ascii="Times New Roman" w:hAnsi="Times New Roman" w:cs="Times New Roman"/>
          <w:iCs/>
          <w:sz w:val="24"/>
          <w:szCs w:val="24"/>
          <w:lang w:val="en-US"/>
        </w:rPr>
        <w:t>nnotation:</w:t>
      </w:r>
      <w:r>
        <w:rPr>
          <w:rFonts w:ascii="Times New Roman" w:hAnsi="Times New Roman" w:cs="Times New Roman"/>
          <w:sz w:val="24"/>
          <w:szCs w:val="24"/>
          <w:lang w:val="en-US"/>
        </w:rPr>
        <w:t xml:space="preserve"> </w:t>
      </w:r>
      <w:r>
        <w:rPr>
          <w:rFonts w:ascii="Times New Roman" w:hAnsi="Times New Roman" w:cs="Times New Roman"/>
          <w:iCs/>
          <w:sz w:val="24"/>
          <w:szCs w:val="24"/>
          <w:lang w:val="en-US"/>
        </w:rPr>
        <w:t>The article considers the features of the participation of lawyers in the formation of the highest corporate governance body of the Bar Association of a constituent entity of the Russian Federation, reveals the deficiencies in the legislation determining the powers of the collegial executive body as a part of the procedure for electing delegates to the conference. On the example of the formation of a conference of lawyers, the author explores the problem of finding a balance of interests of members of non-profit corporations and persons included in the executive body of these legal entities</w:t>
      </w:r>
    </w:p>
    <w:p w14:paraId="3B67AD8C" w14:textId="77777777" w:rsidR="001B6C3B" w:rsidRDefault="001B6C3B" w:rsidP="001B6C3B">
      <w:pPr>
        <w:pStyle w:val="Style3"/>
        <w:spacing w:line="240" w:lineRule="auto"/>
        <w:ind w:firstLine="709"/>
        <w:rPr>
          <w:lang w:val="en-US" w:bidi="en-US"/>
        </w:rPr>
      </w:pPr>
      <w:r>
        <w:rPr>
          <w:rStyle w:val="FontStyle19"/>
          <w:lang w:val="en-US"/>
        </w:rPr>
        <w:t>Keywords:</w:t>
      </w:r>
      <w:r>
        <w:rPr>
          <w:rFonts w:eastAsiaTheme="minorEastAsia"/>
          <w:iCs/>
          <w:lang w:val="en-US" w:eastAsia="en-US" w:bidi="en-US"/>
        </w:rPr>
        <w:t xml:space="preserve"> </w:t>
      </w:r>
      <w:r>
        <w:rPr>
          <w:iCs/>
          <w:lang w:val="en-US" w:bidi="en-US"/>
        </w:rPr>
        <w:t>the Bar Association</w:t>
      </w:r>
      <w:r>
        <w:rPr>
          <w:iCs/>
          <w:lang w:val="en-US"/>
        </w:rPr>
        <w:t xml:space="preserve">; </w:t>
      </w:r>
      <w:r>
        <w:rPr>
          <w:iCs/>
          <w:lang w:val="en-US" w:bidi="en-US"/>
        </w:rPr>
        <w:t xml:space="preserve">corporate governance; corporate control; </w:t>
      </w:r>
      <w:r>
        <w:rPr>
          <w:lang w:val="en-US"/>
        </w:rPr>
        <w:t>legal entities;</w:t>
      </w:r>
      <w:r>
        <w:rPr>
          <w:rFonts w:eastAsiaTheme="minorEastAsia"/>
          <w:lang w:val="en-US" w:eastAsia="en-US" w:bidi="en-US"/>
        </w:rPr>
        <w:t xml:space="preserve"> </w:t>
      </w:r>
      <w:r>
        <w:rPr>
          <w:lang w:val="en-US"/>
        </w:rPr>
        <w:t>management model;</w:t>
      </w:r>
      <w:r>
        <w:rPr>
          <w:rFonts w:eastAsiaTheme="minorHAnsi"/>
          <w:lang w:val="en-US" w:eastAsia="en-US" w:bidi="en-US"/>
        </w:rPr>
        <w:t xml:space="preserve"> </w:t>
      </w:r>
      <w:r>
        <w:rPr>
          <w:lang w:val="en-US" w:bidi="en-US"/>
        </w:rPr>
        <w:t>n</w:t>
      </w:r>
      <w:r>
        <w:rPr>
          <w:lang w:val="en-US"/>
        </w:rPr>
        <w:t>onprofit corporation</w:t>
      </w:r>
      <w:r>
        <w:rPr>
          <w:lang w:val="en-US" w:bidi="en-US"/>
        </w:rPr>
        <w:t>;</w:t>
      </w:r>
      <w:r>
        <w:rPr>
          <w:lang w:val="en-US"/>
        </w:rPr>
        <w:t xml:space="preserve"> </w:t>
      </w:r>
    </w:p>
    <w:p w14:paraId="1379B485" w14:textId="77777777" w:rsidR="001B6C3B" w:rsidRDefault="001B6C3B" w:rsidP="001B6C3B">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В последнее два десятилетия в России наблюдается непрекращающийся рост интереса государства и общества к корпоративному праву и регулируемым им отношениям. К законодательству, регламентирующему вопросы, связанные с корпоративным управлением хозяйственных обществ и иных коммерческих корпораций, приковано внимание значительного числа ученых цивилистов и компаративистов. По проблемам корпоративного контроля в публичных и непубличных хозяйственных обществах, заключения корпоративных договоров и оспаривания решений органов управления корпорации написано множество научных работ в формате монографий, комментариев, в рамках сборников работ и т.п. </w:t>
      </w:r>
    </w:p>
    <w:p w14:paraId="3F0F11EE" w14:textId="77777777" w:rsidR="001B6C3B" w:rsidRDefault="001B6C3B" w:rsidP="001B6C3B">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При этом проблемам регулирования правового статуса некоммерческих корпораций, в особенности вопросам, связанным с моделью корпоративного управления в организациях </w:t>
      </w:r>
      <w:r>
        <w:rPr>
          <w:rFonts w:ascii="Times New Roman" w:eastAsia="Calibri" w:hAnsi="Times New Roman" w:cs="Times New Roman"/>
          <w:sz w:val="24"/>
          <w:szCs w:val="24"/>
        </w:rPr>
        <w:lastRenderedPageBreak/>
        <w:t>некоммерческого типа, уделяется недостаточно внимания, что особенно заметно на фоне все возрастающего  числа исследований в  области  корпоративного управления  коммерческими организациями.</w:t>
      </w:r>
    </w:p>
    <w:p w14:paraId="402FB978" w14:textId="77777777" w:rsidR="001B6C3B" w:rsidRDefault="001B6C3B" w:rsidP="001B6C3B">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Закрепленное отечественным законодателем понимание корпорации охватывает действительно большое разнообразие видов юридических лиц, многие из которых отнесены к некоммерческим организациям. Корпоративная сущность организации согласно ст.ст. 65.1 и 65.3 ГК РФ покоится на нескольких конституирующих признаках, и одним из них является возможность членов корпорации непосредственно участвовать в управлении ею и ставить под эффективный контроль действия органов юридического лица и других лиц, выступающих от его имени</w:t>
      </w:r>
      <w:r>
        <w:rPr>
          <w:rStyle w:val="a7"/>
          <w:rFonts w:ascii="Times New Roman" w:eastAsia="Calibri" w:hAnsi="Times New Roman" w:cs="Times New Roman"/>
          <w:sz w:val="24"/>
          <w:szCs w:val="24"/>
        </w:rPr>
        <w:t xml:space="preserve"> </w:t>
      </w:r>
      <w:r>
        <w:rPr>
          <w:rStyle w:val="a7"/>
          <w:rFonts w:ascii="Times New Roman" w:eastAsia="Calibri" w:hAnsi="Times New Roman" w:cs="Times New Roman"/>
          <w:sz w:val="24"/>
          <w:szCs w:val="24"/>
        </w:rPr>
        <w:footnoteReference w:id="68"/>
      </w:r>
      <w:r>
        <w:rPr>
          <w:rFonts w:ascii="Times New Roman" w:eastAsia="Calibri" w:hAnsi="Times New Roman" w:cs="Times New Roman"/>
          <w:sz w:val="24"/>
          <w:szCs w:val="24"/>
        </w:rPr>
        <w:t>.</w:t>
      </w:r>
    </w:p>
    <w:p w14:paraId="01EAFA8D" w14:textId="77777777" w:rsidR="001B6C3B" w:rsidRDefault="001B6C3B" w:rsidP="001B6C3B">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По информации Министерства юстиции РФ, на 2017 год в России функционируют 220 тыс. 779 некоммерческих организаций</w:t>
      </w:r>
      <w:r>
        <w:rPr>
          <w:rStyle w:val="a7"/>
          <w:rFonts w:ascii="Times New Roman" w:eastAsia="Calibri" w:hAnsi="Times New Roman" w:cs="Times New Roman"/>
          <w:sz w:val="24"/>
          <w:szCs w:val="24"/>
        </w:rPr>
        <w:footnoteReference w:id="69"/>
      </w:r>
      <w:r>
        <w:rPr>
          <w:rFonts w:ascii="Times New Roman" w:eastAsia="Calibri" w:hAnsi="Times New Roman" w:cs="Times New Roman"/>
          <w:sz w:val="24"/>
          <w:szCs w:val="24"/>
        </w:rPr>
        <w:t xml:space="preserve">. Не вызывает сомнений, что некоммерческие корпорации объединяют значительное число граждан и организаций, которые не только исполняют свои корпоративные обязанности, но и осуществляют управление организациями, в которых они имеют членство, для достижения общих целей. </w:t>
      </w:r>
    </w:p>
    <w:p w14:paraId="2E9AB16A" w14:textId="77777777" w:rsidR="001B6C3B" w:rsidRDefault="001B6C3B" w:rsidP="001B6C3B">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Участие в управлении  некоммерческой корпорацией основано на общих правилах корпоративного права, в частности, на предусмотренных в ст. 65.3 ГК РФ нормах, устанавливающих структуру, порядок формирования и компетенцию органов управления, признающих общее собрание участников высшим органом корпорации и определяющих вопросы, разрешение которых относится к его исключительной компетенции</w:t>
      </w:r>
      <w:r>
        <w:rPr>
          <w:rStyle w:val="a7"/>
          <w:rFonts w:ascii="Times New Roman" w:eastAsia="Calibri" w:hAnsi="Times New Roman" w:cs="Times New Roman"/>
          <w:sz w:val="24"/>
          <w:szCs w:val="24"/>
        </w:rPr>
        <w:footnoteReference w:id="70"/>
      </w:r>
      <w:r>
        <w:rPr>
          <w:rFonts w:ascii="Times New Roman" w:eastAsia="Calibri" w:hAnsi="Times New Roman" w:cs="Times New Roman"/>
          <w:sz w:val="24"/>
          <w:szCs w:val="24"/>
        </w:rPr>
        <w:t>.</w:t>
      </w:r>
    </w:p>
    <w:p w14:paraId="7F950034" w14:textId="77777777" w:rsidR="001B6C3B" w:rsidRDefault="001B6C3B" w:rsidP="001B6C3B">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Некоммерческие корпорации по своим внутренним и внешним свойствам значительно отличаются от хозяйственных обществ и других видов коммерческих корпораций, что отражается не только на организационных и структурных основах их существования, но и на объеме корпоративных прав и обязанностей участников этих корпорации. </w:t>
      </w:r>
    </w:p>
    <w:p w14:paraId="1235D3CA" w14:textId="77777777" w:rsidR="001B6C3B" w:rsidRDefault="001B6C3B" w:rsidP="001B6C3B">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Об отклонении норм, регулирующих корпоративное управление некоммерческими корпорациями, от универсального характера норм, рассчитанных в общем на все корпоративные организации,  неоднократно обращает внимание Сойфер Т.В.</w:t>
      </w:r>
      <w:r>
        <w:rPr>
          <w:rStyle w:val="a7"/>
          <w:rFonts w:ascii="Times New Roman" w:eastAsia="Calibri" w:hAnsi="Times New Roman" w:cs="Times New Roman"/>
          <w:sz w:val="24"/>
          <w:szCs w:val="24"/>
        </w:rPr>
        <w:footnoteReference w:id="71"/>
      </w:r>
    </w:p>
    <w:p w14:paraId="360A9A77" w14:textId="77777777" w:rsidR="001B6C3B" w:rsidRDefault="001B6C3B" w:rsidP="001B6C3B">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Одним из наиболее острых вопросов для современной отечественной юриспруденции является проблема соотношения баланса интересов участников хозяйственных обществ и лиц, входящих в состав органов управления юридического лица (см. например:  Постановление Пленума ВАС РФ от 30.07.2013 N 62 "О некоторых вопросах возмещения убытков лицами, входящими в состав органов юридического лица"). Эта проблема актуальна и для некоммерческих организаций, в особенности она проявляется на стадии формирования (созыва) высшего органа некоммерческих корпораций. </w:t>
      </w:r>
    </w:p>
    <w:p w14:paraId="4FD495E8" w14:textId="77777777" w:rsidR="001B6C3B" w:rsidRDefault="001B6C3B" w:rsidP="001B6C3B">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В данной работе мы не ставим перед собой цель охватить все аспекты указанной выше проблемы, перед нами стоит более доступная цель - привлечь к вышеуказанной проблеме пристальное внимание специалистов  в области корпоративного права с помощью анализа норм действующего законодательства, регулирующего процедуру формирования высшего органа адвокатской палаты субъекта РФ (далее – также, адвокатская палата)  с числом членов более 300.</w:t>
      </w:r>
    </w:p>
    <w:p w14:paraId="2987B47B" w14:textId="77777777" w:rsidR="001B6C3B" w:rsidRDefault="001B6C3B" w:rsidP="001B6C3B">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Выбор предмета исследования (правоотношения, возникающие в связи с формированием высшего органа адвокатской палаты) обусловлен как значимостью адвокатского сообщества в процессах укрепления институтов гражданского общества и правового государства в России, так и необходимостью обеспечения правовой определённости в вопросах правового статуса участников адвокатских палат, их </w:t>
      </w:r>
      <w:r>
        <w:rPr>
          <w:rFonts w:ascii="Times New Roman" w:eastAsia="Calibri" w:hAnsi="Times New Roman" w:cs="Times New Roman"/>
          <w:sz w:val="24"/>
          <w:szCs w:val="24"/>
        </w:rPr>
        <w:lastRenderedPageBreak/>
        <w:t xml:space="preserve">корпоративных прав и обязанностей, обеспечения интересов адвокатов как членов корпорации. Более того, адвокатские палаты как  некоммерческие организации, подчиняемые правилам профильного законодательства, являются ярким примером бессистемности современного российского корпоративного законодательства в части, регулирующей правой статус некоммерческих корпораций. </w:t>
      </w:r>
    </w:p>
    <w:p w14:paraId="5623AC4C" w14:textId="77777777" w:rsidR="001B6C3B" w:rsidRDefault="001B6C3B" w:rsidP="001B6C3B">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На законодательном уровне самостоятельным видом некоммерческих корпораций адвокатские палаты стали совсем недавно: Федеральным законом от 13.07.2015 N 268-ФЗ</w:t>
      </w:r>
      <w:r>
        <w:rPr>
          <w:rFonts w:ascii="Times New Roman" w:hAnsi="Times New Roman" w:cs="Times New Roman"/>
          <w:sz w:val="24"/>
          <w:szCs w:val="24"/>
        </w:rPr>
        <w:t xml:space="preserve"> </w:t>
      </w:r>
      <w:r>
        <w:rPr>
          <w:rFonts w:ascii="Times New Roman" w:eastAsia="Calibri" w:hAnsi="Times New Roman" w:cs="Times New Roman"/>
          <w:sz w:val="24"/>
          <w:szCs w:val="24"/>
        </w:rPr>
        <w:t>"О внесении изменений в часть первую Гражданского кодекса Российской Федерации и статью 24 Федерального закона "Об адвокатской деятельности и адвокатуре в Российской Федерации" в  п. 3 ст. 50 ГК РФ, содержащую закрытый перечень организационно-правовых форм (</w:t>
      </w:r>
      <w:r>
        <w:rPr>
          <w:rFonts w:ascii="Times New Roman" w:eastAsia="Calibri" w:hAnsi="Times New Roman" w:cs="Times New Roman"/>
          <w:bCs/>
          <w:sz w:val="24"/>
          <w:szCs w:val="24"/>
        </w:rPr>
        <w:t>numerus clausus)</w:t>
      </w:r>
      <w:r>
        <w:rPr>
          <w:rFonts w:ascii="Times New Roman" w:eastAsia="Calibri" w:hAnsi="Times New Roman" w:cs="Times New Roman"/>
          <w:sz w:val="24"/>
          <w:szCs w:val="24"/>
        </w:rPr>
        <w:t xml:space="preserve"> для всех видов юридических лиц,</w:t>
      </w:r>
      <w:r>
        <w:rPr>
          <w:rStyle w:val="a7"/>
          <w:rFonts w:ascii="Times New Roman" w:eastAsia="Calibri" w:hAnsi="Times New Roman" w:cs="Times New Roman"/>
          <w:sz w:val="24"/>
          <w:szCs w:val="24"/>
        </w:rPr>
        <w:footnoteReference w:id="72"/>
      </w:r>
      <w:r>
        <w:rPr>
          <w:rFonts w:ascii="Times New Roman" w:eastAsia="Calibri" w:hAnsi="Times New Roman" w:cs="Times New Roman"/>
          <w:sz w:val="24"/>
          <w:szCs w:val="24"/>
        </w:rPr>
        <w:t xml:space="preserve"> был включен подп. 12, называющий адвокатские палаты. </w:t>
      </w:r>
    </w:p>
    <w:p w14:paraId="3195C2BE" w14:textId="77777777" w:rsidR="001B6C3B" w:rsidRDefault="001B6C3B" w:rsidP="001B6C3B">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Названный закон также дополнил параграф 6 главы 4 ГК РФ, посвященный некоммерческим корпорациям, подпараграфом 8, в котором имается бланкетная норма, отсылающая к положениям специального закона, а именно к Федеральному закону от 31.05.2002 N 63-ФЗ "Об адвокатской деятельности и адвокатуре в Российской Федерации" (далее – Закон об адвокатуре). </w:t>
      </w:r>
    </w:p>
    <w:p w14:paraId="595CB269" w14:textId="77777777" w:rsidR="001B6C3B" w:rsidRDefault="001B6C3B" w:rsidP="001B6C3B">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Ранее законодатель распространял на адвокатские палаты правила ГК РФ об ассоциациях (пп. 5 п. 8 ст. 3 Федеральный закон от 05.05.2014 N 99-ФЗ "О внесении изменений в главу 4 части первой Гражданского кодекса Российской Федерации и о признании утратившими силу отдельных положений законодательных актов Российской Федерации"). </w:t>
      </w:r>
    </w:p>
    <w:p w14:paraId="5435599C" w14:textId="77777777" w:rsidR="001B6C3B" w:rsidRDefault="001B6C3B" w:rsidP="001B6C3B">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Закон об адвокатуре, как и Федеральный закон от 12.01.1996 N 7-ФЗ "О некоммерческих организациях", принятые еще до масштабной реформы  корпоративного законодательства от 2014 года, не были гармонизированы законодателем с новым правовым регулированием в достаточной для оборота степени, что не может не  отражаться на качестве обеспечения корпоративных прав участников как адвокатских палат, так и других некоммерческих корпораций. </w:t>
      </w:r>
    </w:p>
    <w:p w14:paraId="1DBB8BFE" w14:textId="77777777" w:rsidR="001B6C3B" w:rsidRDefault="001B6C3B" w:rsidP="001B6C3B">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По нашему мнению, заполнение пробелов в законодательстве, регулирующем процедуру формирования волеобразующего органа адвокатской палаты, является важной задачей, стоящей перед современным правопорядком России.</w:t>
      </w:r>
    </w:p>
    <w:p w14:paraId="3EF64C57" w14:textId="77777777" w:rsidR="001B6C3B" w:rsidRDefault="001B6C3B" w:rsidP="001B6C3B">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Итак, ключевой способ реализации права на управление корпорацией является участие её члена в формировании высшего органа управления. Это справедливо для всех некоммерческих организаций, в том числе для адвокатских палат.</w:t>
      </w:r>
    </w:p>
    <w:p w14:paraId="09DB80DF" w14:textId="77777777" w:rsidR="001B6C3B" w:rsidRDefault="001B6C3B" w:rsidP="001B6C3B">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Для целей исследования кратко определим особенности высшего органа управления адвокатской палатой</w:t>
      </w:r>
      <w:r>
        <w:rPr>
          <w:rStyle w:val="a7"/>
          <w:rFonts w:ascii="Times New Roman" w:eastAsia="Calibri" w:hAnsi="Times New Roman" w:cs="Times New Roman"/>
          <w:sz w:val="24"/>
          <w:szCs w:val="24"/>
        </w:rPr>
        <w:footnoteReference w:id="73"/>
      </w:r>
      <w:r>
        <w:rPr>
          <w:rFonts w:ascii="Times New Roman" w:eastAsia="Calibri" w:hAnsi="Times New Roman" w:cs="Times New Roman"/>
          <w:sz w:val="24"/>
          <w:szCs w:val="24"/>
        </w:rPr>
        <w:t>. Пункт 1 ст. 65.3 ГК РФ указывает, что высшим органом корпорации является общее собрание ее участников. Это общее правило имеет свое исключение: в некоммерческих корпорациях с числом участников более ста высшим органом может являться съезд, конференция или иной представительный (коллегиальный) орган. В этом заключается существенная особенность правового статуса некоммерческих корпораций.</w:t>
      </w:r>
    </w:p>
    <w:p w14:paraId="44EBA7A1" w14:textId="77777777" w:rsidR="001B6C3B" w:rsidRDefault="001B6C3B" w:rsidP="001B6C3B">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Для адвокатских палат законодатель избрал бинарную модель высшего органа: согласно ст. 30 Закона об адвокатуре высшим органом адвокатской палаты является собрание адвокатов, а при численности её членов свыше 300 – конференция адвокатов.  Разница между собранием адвокатов и конференцией заключается в способе формирования данного органа. </w:t>
      </w:r>
    </w:p>
    <w:p w14:paraId="1F8AA34E" w14:textId="77777777" w:rsidR="001B6C3B" w:rsidRDefault="001B6C3B" w:rsidP="001B6C3B">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Собрание адвокатов представляет собой не что иное как общее собрание членов адвокатской палаты, т. е. традиционный для корпоративного права институт. Конференция адвокатов представляет собой реализацию модели опосредованного участия в формировании участниками корпорации её высшего органа. Системное толкование подп. 3, подп. 14 п. 3 ст. 31 Закона об адвокатуре позволяет нам прийти к выводу, что в конференции адвокатов </w:t>
      </w:r>
      <w:r>
        <w:rPr>
          <w:rFonts w:ascii="Times New Roman" w:eastAsia="Calibri" w:hAnsi="Times New Roman" w:cs="Times New Roman"/>
          <w:sz w:val="24"/>
          <w:szCs w:val="24"/>
        </w:rPr>
        <w:lastRenderedPageBreak/>
        <w:t xml:space="preserve">принимают участие делегаты или представители, выбранные адвокатами по норме представительства и в порядке, установленном коллегиальным исполнительным органом адвокатской палаты, т.е. её советом. </w:t>
      </w:r>
    </w:p>
    <w:p w14:paraId="24A7BCAE" w14:textId="77777777" w:rsidR="001B6C3B" w:rsidRDefault="001B6C3B" w:rsidP="001B6C3B">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Здесь  перед  нами возникает сразу ряд вопросов. Во-первых, остается неясной причина закрепления в законе императивного требования, ставящего порядок формирования высшего органа корпораций, относящихся к одной организационно-правовой форме, в зависимость от  конкретной численности участников корпорации. </w:t>
      </w:r>
    </w:p>
    <w:p w14:paraId="51FE34C7" w14:textId="77777777" w:rsidR="001B6C3B" w:rsidRDefault="001B6C3B" w:rsidP="001B6C3B">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Чем руководствовался законодатель, определяя именно 300 членов корпорации в качестве порогового критерия для формирования либо собрания адвокатов либо конференции? Будет ли справедливо это правило если в адвокатской палате насчитывается 304 адвоката? Можно представить ситуацию, что в адвокатской палате N число членов как правило не стабильно и не достигает 300, но в один год число участников  несильно возросло,  допустим с 296 адвокатов до 302,  в таком случае привычные для данной палаты форма работы высшего органа и порядок его формирования (участие всех адвокатов) должны быть изменены и вместо непосредственного участия должны выбираться делегаты. </w:t>
      </w:r>
    </w:p>
    <w:p w14:paraId="203BA0C5" w14:textId="77777777" w:rsidR="001B6C3B" w:rsidRDefault="001B6C3B" w:rsidP="001B6C3B">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Эту проблему можно условно назвать проблемой несправедливого ограничения автономии  воли адвокатов в части определения модели высшего органа управления (далее- проблема №  1) </w:t>
      </w:r>
    </w:p>
    <w:p w14:paraId="2A935D51" w14:textId="77777777" w:rsidR="001B6C3B" w:rsidRDefault="001B6C3B" w:rsidP="001B6C3B">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Следующая проблема связана с объемом полномочий коллегиального исполнительно- </w:t>
      </w:r>
    </w:p>
    <w:p w14:paraId="726FA54B" w14:textId="77777777" w:rsidR="001B6C3B" w:rsidRDefault="001B6C3B" w:rsidP="001B6C3B">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го исполнительного органа (далее - совет) по формированию  конференции (далее - проблема № 2).</w:t>
      </w:r>
    </w:p>
    <w:p w14:paraId="40252947" w14:textId="77777777" w:rsidR="001B6C3B" w:rsidRDefault="001B6C3B" w:rsidP="001B6C3B">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Подп. 3 п. 3 ст. 31 Закона об адвокатуре наделяет совет адвокатской палаты исключительной компетенцией определять норму представительства на конференцию и порядок избрания делегатов конференции. Норма представительств адвокатов означает соотношение количества делегатов и представляемых ими адвокатов. Каких либо минимальных значений закон не содержит. Так, согласно п. 1.1.1 решения Совета Адвокатской палаты города Москвы № 178 от 30 октября 2019 г.,  на Восемнадцатую ежегодную конференцию адвокатов города Москвы определена следующая норма представительства - 1 делегат от 20 адвокатов. Обоснования принятия именно этой цифры в документе не имеется.</w:t>
      </w:r>
    </w:p>
    <w:p w14:paraId="6CAD6C85" w14:textId="77777777" w:rsidR="001B6C3B" w:rsidRDefault="001B6C3B" w:rsidP="001B6C3B">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Отказ от рассмотрения указанной проблемы может привести к лишению адвокатов действительной возможности влиять на принимаемые исполнительным органом решения, так как  важнейшей функцией конференции адвокатов  является контроль деятельности совета, в том числе утверждения сметы расходов.</w:t>
      </w:r>
    </w:p>
    <w:p w14:paraId="54292174" w14:textId="77777777" w:rsidR="001B6C3B" w:rsidRDefault="001B6C3B" w:rsidP="001B6C3B">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Неограниченная свобода совета в определении порядка выборов делегатов конференции может поставить принимаемые конференцией решения в зависимость от членов совета. Известна практика имплементации советами некоторых адвокатских палат в порядок избрания делегатов конференции правила об автоматическом включении в состав делегатов конференции лиц, входящих в состав органов управления</w:t>
      </w:r>
      <w:r>
        <w:rPr>
          <w:rStyle w:val="a7"/>
          <w:rFonts w:ascii="Times New Roman" w:eastAsia="Calibri" w:hAnsi="Times New Roman" w:cs="Times New Roman"/>
          <w:sz w:val="24"/>
          <w:szCs w:val="24"/>
        </w:rPr>
        <w:footnoteReference w:id="74"/>
      </w:r>
      <w:r>
        <w:rPr>
          <w:rFonts w:ascii="Times New Roman" w:eastAsia="Calibri" w:hAnsi="Times New Roman" w:cs="Times New Roman"/>
          <w:sz w:val="24"/>
          <w:szCs w:val="24"/>
        </w:rPr>
        <w:t>.</w:t>
      </w:r>
    </w:p>
    <w:p w14:paraId="48F531C9" w14:textId="77777777" w:rsidR="001B6C3B" w:rsidRDefault="001B6C3B" w:rsidP="001B6C3B">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Рассмотрев вышеприведенные проблемы, перейдем к вариантам их разрешения. </w:t>
      </w:r>
    </w:p>
    <w:p w14:paraId="0183D346" w14:textId="77777777" w:rsidR="001B6C3B" w:rsidRDefault="001B6C3B" w:rsidP="001B6C3B">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Представляются возможными несколько  решений  проблемы № 1. Одним из способов является закрепление в законе об адвокатуре права адвокатов каждой адвокатской палаты самостоятельно определять предпочтительный для них порядок формирования высшего органа (из  имеющихся в законе), путем закрепления его в уставе. Подобное решение требует тщательной проработки механизмов его реализации ввиду необходимости разрешения организационных сложностей и финансовых вопросов, возникающих в связи с созывом собрания адвокатов в адвокатских палатах, в которых численность участников достигает нескольких тысяч. Кроме того, не стоит забывать и о повышенных рисках признания решений высшего органа недействительными по основаниям, предусмотренным ст.ст. 181.4. - 181.5 ГК РФ. </w:t>
      </w:r>
    </w:p>
    <w:p w14:paraId="394CE372" w14:textId="77777777" w:rsidR="001B6C3B" w:rsidRDefault="001B6C3B" w:rsidP="001B6C3B">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lastRenderedPageBreak/>
        <w:t xml:space="preserve">Иным способом решения данной проблемы является пересмотр законодателем пороговой цифры, определяющей модель формирования высшего органа управления. Данный пересмотр должен осуществляться в рамках научного исследования с использованием междисциплинарного подхода, в том числе с апробированием количественных методов. </w:t>
      </w:r>
    </w:p>
    <w:p w14:paraId="55BE5D09" w14:textId="77777777" w:rsidR="001B6C3B" w:rsidRDefault="001B6C3B" w:rsidP="001B6C3B">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Здесь следует отметить, что сама по себе опосредованная модель формирования высшего органа управления адвокатурой является эффективным инструментом волеобразования адвокатской палаты, примером чему служит Всероссийский Съезд адвокатов. Однако порядок образования высшего органа адвокатской палаты субъекта РФ и запрет адвокатам самим выбирать модель формирования высшего органа управления (непосредственное участие или опосредованное), может стать благоприятной почвой для необоснованного ограничения ключевого корпоративного права адвоката принимать участие в управлении общими делами корпорации. </w:t>
      </w:r>
    </w:p>
    <w:p w14:paraId="030418A9" w14:textId="77777777" w:rsidR="001B6C3B" w:rsidRDefault="001B6C3B" w:rsidP="001B6C3B">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Что касается проблемы № 2, считаем, что её верным решением будет внесение следующих законодательных изменений. Во-первых, необходимо включить в Закон об адвокатуре императивную норму, устанавливающую минимальный порог представительства адвокатов на конференции, причем данная норма должна быть выражена в процентном соотношении с общим числом адвокатов.</w:t>
      </w:r>
    </w:p>
    <w:p w14:paraId="4F32BE92" w14:textId="77777777" w:rsidR="001B6C3B" w:rsidRDefault="001B6C3B" w:rsidP="001B6C3B">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Во-вторых, требуется законодательное ограничение права членов совета участвовать в </w:t>
      </w:r>
    </w:p>
    <w:p w14:paraId="68C5C333" w14:textId="77777777" w:rsidR="001B6C3B" w:rsidRDefault="001B6C3B" w:rsidP="001B6C3B">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работе конференции в качестве делегатов конференции, дабы исключить злоупотребления и  недобросовестное влияние на осуществление конференцией функций контроля за деятельностью исполнительных органов и их формированием. Другим путем является не исключение членов выборочных органов в работе конференции, но  установление законодательного запрета голосовать этим лицам по ряду вопросов, в том числе касающихся ротации членов совета и утверждения отчета об их деятельности.  </w:t>
      </w:r>
    </w:p>
    <w:p w14:paraId="05DE7C68" w14:textId="77777777" w:rsidR="001B6C3B" w:rsidRDefault="001B6C3B" w:rsidP="001B6C3B">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В заключение отметим, что предлагаемые нами изменения в закон не являются единственно правильными, а круг проблем - исчерпывающим.</w:t>
      </w:r>
    </w:p>
    <w:p w14:paraId="43576571" w14:textId="77777777" w:rsidR="001B6C3B" w:rsidRDefault="001B6C3B" w:rsidP="001B6C3B">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Многообразие общественных отношений, возникающих в связи с участием в некоммерческих корпорациях, вскрывает не только бесчисленные пробелы российского законодательства, но и служит источником многочисленных судебных споров.                                    Автор надеется, что  проведенный анализ и разработанные в рамках настоящей работы предложения повлекут повышенный интерес к проблемам корпоративного управления в некоммерческих корпорациях и в адвокатских палатах в частности. </w:t>
      </w:r>
    </w:p>
    <w:p w14:paraId="0ADB7AB8" w14:textId="77777777" w:rsidR="001B6C3B" w:rsidRDefault="001B6C3B" w:rsidP="001B6C3B">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Что касается конференции адвокатов как модели опосредованного участия адвокатов в управлении делами адвокатской палаты, считаем, что она сама по себе полезна,  так как в её основу разработчиками положена гибкость и эффективность - гораздо проще созвать делегатов конференции и ознакомить их с повесткой конференции, подсчитать голоса, чем рисковать срывом работы высшего органа корпорации из-за неявки определенного числа адвокатов на собрание (не стоит забывать о том, что численность членов некоторых адвокатских палат достигает нескольких тысяч).  </w:t>
      </w:r>
    </w:p>
    <w:p w14:paraId="20FF9014" w14:textId="77777777" w:rsidR="001B6C3B" w:rsidRDefault="001B6C3B" w:rsidP="001B6C3B">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Однако утилитарная ценность предложенной авторами закона об адвокатуре бинарной модели  высшего органа адвокатской палаты не может обосновывать чрезмерную свободу исполнительного органа в определении правил, по которым начинает работать высший орган корпорации.  </w:t>
      </w:r>
    </w:p>
    <w:p w14:paraId="074721B1" w14:textId="77777777" w:rsidR="001B6C3B" w:rsidRDefault="001B6C3B" w:rsidP="001B6C3B">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Таким образом, все затронутые в настоящей работе и иные существующие проблемы в исследуемой области требуют очень тщательного и глубокого изучения со стороны представителей юридической науки, а также членов некоммерческих корпораций,  поскольку  в первую очередь об их правах и интересах идет речь. </w:t>
      </w:r>
    </w:p>
    <w:p w14:paraId="4EE42F48" w14:textId="77777777" w:rsidR="001B6C3B" w:rsidRDefault="001B6C3B" w:rsidP="001B6C3B">
      <w:pPr>
        <w:spacing w:after="0" w:line="240" w:lineRule="auto"/>
        <w:ind w:firstLine="709"/>
        <w:jc w:val="both"/>
        <w:rPr>
          <w:rFonts w:ascii="Times New Roman" w:eastAsia="Calibri" w:hAnsi="Times New Roman" w:cs="Times New Roman"/>
          <w:b/>
          <w:sz w:val="24"/>
          <w:szCs w:val="24"/>
        </w:rPr>
      </w:pPr>
    </w:p>
    <w:p w14:paraId="22F6CEE6" w14:textId="77777777" w:rsidR="001B6C3B" w:rsidRDefault="001B6C3B" w:rsidP="001B6C3B">
      <w:pPr>
        <w:spacing w:after="0" w:line="240" w:lineRule="auto"/>
        <w:ind w:firstLine="709"/>
        <w:jc w:val="both"/>
        <w:rPr>
          <w:rFonts w:ascii="Times New Roman" w:eastAsia="Calibri" w:hAnsi="Times New Roman" w:cs="Times New Roman"/>
          <w:b/>
          <w:sz w:val="24"/>
          <w:szCs w:val="24"/>
        </w:rPr>
      </w:pPr>
      <w:r>
        <w:rPr>
          <w:rFonts w:ascii="Times New Roman" w:eastAsia="Calibri" w:hAnsi="Times New Roman" w:cs="Times New Roman"/>
          <w:b/>
          <w:sz w:val="24"/>
          <w:szCs w:val="24"/>
        </w:rPr>
        <w:t>Библиографический список</w:t>
      </w:r>
    </w:p>
    <w:p w14:paraId="716C1D0D" w14:textId="77777777" w:rsidR="001B6C3B" w:rsidRDefault="001B6C3B" w:rsidP="00E3198A">
      <w:pPr>
        <w:numPr>
          <w:ilvl w:val="0"/>
          <w:numId w:val="10"/>
        </w:numPr>
        <w:spacing w:after="0" w:line="240" w:lineRule="auto"/>
        <w:ind w:left="0"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Андреев В.К. Развитие понятия юридического лица // Гражданское право. 2014. N 4. С. 3 - 7. - Доступ из справ.-правовой системы «КонсультантПлюс».</w:t>
      </w:r>
    </w:p>
    <w:p w14:paraId="5BA37135" w14:textId="77777777" w:rsidR="001B6C3B" w:rsidRDefault="001B6C3B" w:rsidP="00E3198A">
      <w:pPr>
        <w:numPr>
          <w:ilvl w:val="0"/>
          <w:numId w:val="10"/>
        </w:numPr>
        <w:spacing w:after="0" w:line="240" w:lineRule="auto"/>
        <w:ind w:left="0"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lastRenderedPageBreak/>
        <w:t xml:space="preserve">  Глава Минюста: в России зарегистрировано более 220 тысяч НКО. URL:https://tass.ru/obschestvo/4749262 (дата обращения: 10.03.2020).</w:t>
      </w:r>
    </w:p>
    <w:p w14:paraId="283AF744" w14:textId="77777777" w:rsidR="001B6C3B" w:rsidRDefault="001B6C3B" w:rsidP="00E3198A">
      <w:pPr>
        <w:numPr>
          <w:ilvl w:val="0"/>
          <w:numId w:val="10"/>
        </w:numPr>
        <w:spacing w:after="0" w:line="240" w:lineRule="auto"/>
        <w:ind w:left="0"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Сойфер Т.В. К вопросу об управлении в некоммерческих корпорациях // Гражданское право. 2017. N 4. С. 3 - 6. - Доступ из справ.-правовой системы «КонсультантПлюс».</w:t>
      </w:r>
    </w:p>
    <w:p w14:paraId="792CAC96" w14:textId="77777777" w:rsidR="001B6C3B" w:rsidRDefault="001B6C3B" w:rsidP="00E3198A">
      <w:pPr>
        <w:numPr>
          <w:ilvl w:val="0"/>
          <w:numId w:val="10"/>
        </w:numPr>
        <w:spacing w:after="0" w:line="240" w:lineRule="auto"/>
        <w:ind w:left="0"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Суханов Е.А. О юридических лицах в Гражданском кодексе РФ 1994 г. // Вестник гражданского права. 2019. N 6. С. 22 - 34. - Доступ из справ.-правовой системы «КонсультантПлюс»</w:t>
      </w:r>
    </w:p>
    <w:p w14:paraId="41E6023C" w14:textId="77777777" w:rsidR="001B6C3B" w:rsidRDefault="001B6C3B" w:rsidP="001B6C3B">
      <w:pPr>
        <w:spacing w:after="0" w:line="240" w:lineRule="auto"/>
        <w:rPr>
          <w:rFonts w:ascii="Times New Roman" w:eastAsia="Calibri" w:hAnsi="Times New Roman" w:cs="Times New Roman"/>
          <w:sz w:val="24"/>
          <w:szCs w:val="24"/>
        </w:rPr>
        <w:sectPr w:rsidR="001B6C3B">
          <w:footnotePr>
            <w:numRestart w:val="eachPage"/>
          </w:footnotePr>
          <w:pgSz w:w="11906" w:h="16838"/>
          <w:pgMar w:top="1134" w:right="1134" w:bottom="1134" w:left="1134" w:header="709" w:footer="709" w:gutter="0"/>
          <w:cols w:space="720"/>
        </w:sectPr>
      </w:pPr>
    </w:p>
    <w:p w14:paraId="39B13BAA" w14:textId="77777777" w:rsidR="001B6C3B" w:rsidRDefault="001B6C3B" w:rsidP="001B6C3B">
      <w:pPr>
        <w:spacing w:after="0" w:line="240" w:lineRule="auto"/>
        <w:ind w:firstLine="4962"/>
        <w:jc w:val="right"/>
        <w:rPr>
          <w:rFonts w:ascii="Times New Roman" w:hAnsi="Times New Roman" w:cs="Times New Roman"/>
          <w:b/>
          <w:i/>
          <w:sz w:val="24"/>
          <w:szCs w:val="24"/>
        </w:rPr>
      </w:pPr>
      <w:r>
        <w:rPr>
          <w:rFonts w:ascii="Times New Roman" w:hAnsi="Times New Roman" w:cs="Times New Roman"/>
          <w:b/>
          <w:i/>
          <w:sz w:val="24"/>
          <w:szCs w:val="24"/>
        </w:rPr>
        <w:lastRenderedPageBreak/>
        <w:t>УДК 347.451.02</w:t>
      </w:r>
    </w:p>
    <w:p w14:paraId="5F4AC631" w14:textId="77777777" w:rsidR="001B6C3B" w:rsidRDefault="001B6C3B" w:rsidP="001B6C3B">
      <w:pPr>
        <w:spacing w:after="0" w:line="240" w:lineRule="auto"/>
        <w:ind w:firstLine="4962"/>
        <w:jc w:val="both"/>
        <w:rPr>
          <w:rFonts w:ascii="Times New Roman" w:hAnsi="Times New Roman" w:cs="Times New Roman"/>
          <w:b/>
          <w:sz w:val="24"/>
          <w:szCs w:val="24"/>
        </w:rPr>
      </w:pPr>
    </w:p>
    <w:p w14:paraId="52A2330C" w14:textId="77777777" w:rsidR="001B6C3B" w:rsidRDefault="001B6C3B" w:rsidP="001B6C3B">
      <w:pPr>
        <w:spacing w:after="0" w:line="240" w:lineRule="auto"/>
        <w:ind w:firstLine="4962"/>
        <w:jc w:val="both"/>
        <w:rPr>
          <w:rFonts w:ascii="Times New Roman" w:hAnsi="Times New Roman" w:cs="Times New Roman"/>
          <w:b/>
          <w:sz w:val="24"/>
          <w:szCs w:val="24"/>
        </w:rPr>
      </w:pPr>
      <w:r>
        <w:rPr>
          <w:rFonts w:ascii="Times New Roman" w:hAnsi="Times New Roman" w:cs="Times New Roman"/>
          <w:b/>
          <w:sz w:val="24"/>
          <w:szCs w:val="24"/>
        </w:rPr>
        <w:t>Бурнашкин Владислав Александрович</w:t>
      </w:r>
    </w:p>
    <w:p w14:paraId="338D26C1" w14:textId="77777777" w:rsidR="001B6C3B" w:rsidRDefault="001B6C3B" w:rsidP="001B6C3B">
      <w:pPr>
        <w:spacing w:after="0" w:line="240" w:lineRule="auto"/>
        <w:ind w:firstLine="4962"/>
        <w:jc w:val="both"/>
        <w:rPr>
          <w:rFonts w:ascii="Times New Roman" w:hAnsi="Times New Roman" w:cs="Times New Roman"/>
          <w:b/>
          <w:sz w:val="24"/>
          <w:szCs w:val="24"/>
          <w:lang w:bidi="en-US"/>
        </w:rPr>
      </w:pPr>
      <w:r>
        <w:rPr>
          <w:rFonts w:ascii="Times New Roman" w:hAnsi="Times New Roman" w:cs="Times New Roman"/>
          <w:b/>
          <w:sz w:val="24"/>
          <w:szCs w:val="24"/>
          <w:lang w:bidi="en-US"/>
        </w:rPr>
        <w:t>Burnashkin Vladislav Alexandrovich</w:t>
      </w:r>
    </w:p>
    <w:p w14:paraId="49149A52" w14:textId="77777777" w:rsidR="001B6C3B" w:rsidRDefault="001B6C3B" w:rsidP="001B6C3B">
      <w:pPr>
        <w:spacing w:after="0" w:line="240" w:lineRule="auto"/>
        <w:ind w:firstLine="4962"/>
        <w:jc w:val="both"/>
        <w:rPr>
          <w:rFonts w:ascii="Times New Roman" w:hAnsi="Times New Roman" w:cs="Times New Roman"/>
          <w:sz w:val="24"/>
          <w:szCs w:val="24"/>
        </w:rPr>
      </w:pPr>
      <w:r>
        <w:rPr>
          <w:rFonts w:ascii="Times New Roman" w:hAnsi="Times New Roman" w:cs="Times New Roman"/>
          <w:sz w:val="24"/>
          <w:szCs w:val="24"/>
        </w:rPr>
        <w:t xml:space="preserve">магистрант Федеральное государственное </w:t>
      </w:r>
    </w:p>
    <w:p w14:paraId="36711E52" w14:textId="77777777" w:rsidR="001B6C3B" w:rsidRDefault="001B6C3B" w:rsidP="001B6C3B">
      <w:pPr>
        <w:spacing w:after="0" w:line="240" w:lineRule="auto"/>
        <w:ind w:firstLine="4962"/>
        <w:jc w:val="both"/>
        <w:rPr>
          <w:rFonts w:ascii="Times New Roman" w:hAnsi="Times New Roman" w:cs="Times New Roman"/>
          <w:sz w:val="24"/>
          <w:szCs w:val="24"/>
        </w:rPr>
      </w:pPr>
      <w:r>
        <w:rPr>
          <w:rFonts w:ascii="Times New Roman" w:hAnsi="Times New Roman" w:cs="Times New Roman"/>
          <w:sz w:val="24"/>
          <w:szCs w:val="24"/>
        </w:rPr>
        <w:t xml:space="preserve">бюджетное образовательное учреждение </w:t>
      </w:r>
    </w:p>
    <w:p w14:paraId="2CA50429" w14:textId="77777777" w:rsidR="001B6C3B" w:rsidRDefault="001B6C3B" w:rsidP="001B6C3B">
      <w:pPr>
        <w:spacing w:after="0" w:line="240" w:lineRule="auto"/>
        <w:ind w:firstLine="4962"/>
        <w:jc w:val="both"/>
        <w:rPr>
          <w:rFonts w:ascii="Times New Roman" w:hAnsi="Times New Roman" w:cs="Times New Roman"/>
          <w:sz w:val="24"/>
          <w:szCs w:val="24"/>
        </w:rPr>
      </w:pPr>
      <w:r>
        <w:rPr>
          <w:rFonts w:ascii="Times New Roman" w:hAnsi="Times New Roman" w:cs="Times New Roman"/>
          <w:sz w:val="24"/>
          <w:szCs w:val="24"/>
        </w:rPr>
        <w:t xml:space="preserve">высшего образования «Кубанский </w:t>
      </w:r>
    </w:p>
    <w:p w14:paraId="519D609A" w14:textId="77777777" w:rsidR="001B6C3B" w:rsidRDefault="001B6C3B" w:rsidP="001B6C3B">
      <w:pPr>
        <w:spacing w:after="0" w:line="240" w:lineRule="auto"/>
        <w:ind w:firstLine="4962"/>
        <w:jc w:val="both"/>
        <w:rPr>
          <w:rFonts w:ascii="Times New Roman" w:hAnsi="Times New Roman" w:cs="Times New Roman"/>
          <w:sz w:val="24"/>
          <w:szCs w:val="24"/>
        </w:rPr>
      </w:pPr>
      <w:r>
        <w:rPr>
          <w:rFonts w:ascii="Times New Roman" w:hAnsi="Times New Roman" w:cs="Times New Roman"/>
          <w:sz w:val="24"/>
          <w:szCs w:val="24"/>
        </w:rPr>
        <w:t xml:space="preserve">государственный аграрный университет </w:t>
      </w:r>
    </w:p>
    <w:p w14:paraId="1D8FC745" w14:textId="77777777" w:rsidR="001B6C3B" w:rsidRDefault="001B6C3B" w:rsidP="001B6C3B">
      <w:pPr>
        <w:spacing w:after="0" w:line="240" w:lineRule="auto"/>
        <w:ind w:firstLine="4962"/>
        <w:jc w:val="both"/>
        <w:rPr>
          <w:rFonts w:ascii="Times New Roman" w:hAnsi="Times New Roman" w:cs="Times New Roman"/>
          <w:sz w:val="24"/>
          <w:szCs w:val="24"/>
          <w:lang w:val="en-US" w:bidi="en-US"/>
        </w:rPr>
      </w:pPr>
      <w:r>
        <w:rPr>
          <w:rFonts w:ascii="Times New Roman" w:hAnsi="Times New Roman" w:cs="Times New Roman"/>
          <w:sz w:val="24"/>
          <w:szCs w:val="24"/>
        </w:rPr>
        <w:t>имени</w:t>
      </w:r>
      <w:r>
        <w:rPr>
          <w:rFonts w:ascii="Times New Roman" w:hAnsi="Times New Roman" w:cs="Times New Roman"/>
          <w:sz w:val="24"/>
          <w:szCs w:val="24"/>
          <w:lang w:val="en-US" w:bidi="en-US"/>
        </w:rPr>
        <w:t xml:space="preserve"> </w:t>
      </w:r>
      <w:r>
        <w:rPr>
          <w:rFonts w:ascii="Times New Roman" w:hAnsi="Times New Roman" w:cs="Times New Roman"/>
          <w:sz w:val="24"/>
          <w:szCs w:val="24"/>
        </w:rPr>
        <w:t>И</w:t>
      </w:r>
      <w:r>
        <w:rPr>
          <w:rFonts w:ascii="Times New Roman" w:hAnsi="Times New Roman" w:cs="Times New Roman"/>
          <w:sz w:val="24"/>
          <w:szCs w:val="24"/>
          <w:lang w:val="en-US" w:bidi="en-US"/>
        </w:rPr>
        <w:t>.</w:t>
      </w:r>
      <w:r>
        <w:rPr>
          <w:rFonts w:ascii="Times New Roman" w:hAnsi="Times New Roman" w:cs="Times New Roman"/>
          <w:sz w:val="24"/>
          <w:szCs w:val="24"/>
        </w:rPr>
        <w:t>Т</w:t>
      </w:r>
      <w:r>
        <w:rPr>
          <w:rFonts w:ascii="Times New Roman" w:hAnsi="Times New Roman" w:cs="Times New Roman"/>
          <w:sz w:val="24"/>
          <w:szCs w:val="24"/>
          <w:lang w:val="en-US" w:bidi="en-US"/>
        </w:rPr>
        <w:t xml:space="preserve">. </w:t>
      </w:r>
      <w:r>
        <w:rPr>
          <w:rFonts w:ascii="Times New Roman" w:hAnsi="Times New Roman" w:cs="Times New Roman"/>
          <w:sz w:val="24"/>
          <w:szCs w:val="24"/>
        </w:rPr>
        <w:t>Трубилина</w:t>
      </w:r>
      <w:r>
        <w:rPr>
          <w:rFonts w:ascii="Times New Roman" w:hAnsi="Times New Roman" w:cs="Times New Roman"/>
          <w:sz w:val="24"/>
          <w:szCs w:val="24"/>
          <w:lang w:val="en-US" w:bidi="en-US"/>
        </w:rPr>
        <w:t>»</w:t>
      </w:r>
    </w:p>
    <w:p w14:paraId="2FDC54F2" w14:textId="77777777" w:rsidR="001B6C3B" w:rsidRDefault="001B6C3B" w:rsidP="001B6C3B">
      <w:pPr>
        <w:spacing w:after="0" w:line="240" w:lineRule="auto"/>
        <w:ind w:firstLine="4962"/>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Federal State Budgetary Educational Institution </w:t>
      </w:r>
    </w:p>
    <w:p w14:paraId="32B38834" w14:textId="77777777" w:rsidR="001B6C3B" w:rsidRDefault="001B6C3B" w:rsidP="001B6C3B">
      <w:pPr>
        <w:spacing w:after="0" w:line="240" w:lineRule="auto"/>
        <w:ind w:firstLine="4962"/>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of Higher Education «Kuban State Agrarian </w:t>
      </w:r>
    </w:p>
    <w:p w14:paraId="2C7D06E3" w14:textId="77777777" w:rsidR="001B6C3B" w:rsidRDefault="001B6C3B" w:rsidP="001B6C3B">
      <w:pPr>
        <w:spacing w:after="0" w:line="240" w:lineRule="auto"/>
        <w:ind w:firstLine="4962"/>
        <w:jc w:val="both"/>
        <w:rPr>
          <w:rFonts w:ascii="Times New Roman" w:hAnsi="Times New Roman" w:cs="Times New Roman"/>
          <w:sz w:val="24"/>
          <w:szCs w:val="24"/>
          <w:lang w:val="en-US"/>
        </w:rPr>
      </w:pPr>
      <w:r>
        <w:rPr>
          <w:rFonts w:ascii="Times New Roman" w:hAnsi="Times New Roman" w:cs="Times New Roman"/>
          <w:sz w:val="24"/>
          <w:szCs w:val="24"/>
          <w:lang w:val="en-US"/>
        </w:rPr>
        <w:t>University named after I.T. Trubilin»</w:t>
      </w:r>
    </w:p>
    <w:p w14:paraId="537DFDB1" w14:textId="77777777" w:rsidR="001B6C3B" w:rsidRDefault="001B6C3B" w:rsidP="001B6C3B">
      <w:pPr>
        <w:spacing w:after="0" w:line="240" w:lineRule="auto"/>
        <w:ind w:firstLine="4962"/>
        <w:jc w:val="both"/>
        <w:rPr>
          <w:rFonts w:ascii="Times New Roman" w:hAnsi="Times New Roman" w:cs="Times New Roman"/>
          <w:sz w:val="24"/>
          <w:szCs w:val="24"/>
        </w:rPr>
      </w:pPr>
      <w:r>
        <w:rPr>
          <w:rFonts w:ascii="Times New Roman" w:hAnsi="Times New Roman" w:cs="Times New Roman"/>
          <w:sz w:val="24"/>
          <w:szCs w:val="24"/>
        </w:rPr>
        <w:t>Российская Федерация, г. Краснодар</w:t>
      </w:r>
    </w:p>
    <w:p w14:paraId="237A573A" w14:textId="77777777" w:rsidR="001B6C3B" w:rsidRDefault="001B6C3B" w:rsidP="001B6C3B">
      <w:pPr>
        <w:spacing w:after="0" w:line="240" w:lineRule="auto"/>
        <w:ind w:firstLine="4962"/>
        <w:jc w:val="both"/>
        <w:rPr>
          <w:rFonts w:ascii="Times New Roman" w:hAnsi="Times New Roman" w:cs="Times New Roman"/>
          <w:sz w:val="24"/>
          <w:szCs w:val="24"/>
        </w:rPr>
      </w:pPr>
      <w:r>
        <w:rPr>
          <w:rFonts w:ascii="Times New Roman" w:hAnsi="Times New Roman" w:cs="Times New Roman"/>
          <w:sz w:val="24"/>
          <w:szCs w:val="24"/>
          <w:lang w:val="en-US"/>
        </w:rPr>
        <w:t>Russian</w:t>
      </w:r>
      <w:r w:rsidRPr="00430C1C">
        <w:rPr>
          <w:rFonts w:ascii="Times New Roman" w:hAnsi="Times New Roman" w:cs="Times New Roman"/>
          <w:sz w:val="24"/>
          <w:szCs w:val="24"/>
        </w:rPr>
        <w:t xml:space="preserve"> </w:t>
      </w:r>
      <w:r>
        <w:rPr>
          <w:rFonts w:ascii="Times New Roman" w:hAnsi="Times New Roman" w:cs="Times New Roman"/>
          <w:sz w:val="24"/>
          <w:szCs w:val="24"/>
          <w:lang w:val="en-US"/>
        </w:rPr>
        <w:t>Federation</w:t>
      </w:r>
      <w:r>
        <w:rPr>
          <w:rFonts w:ascii="Times New Roman" w:hAnsi="Times New Roman" w:cs="Times New Roman"/>
          <w:sz w:val="24"/>
          <w:szCs w:val="24"/>
        </w:rPr>
        <w:t xml:space="preserve">, </w:t>
      </w:r>
      <w:r>
        <w:rPr>
          <w:rFonts w:ascii="Times New Roman" w:hAnsi="Times New Roman" w:cs="Times New Roman"/>
          <w:sz w:val="24"/>
          <w:szCs w:val="24"/>
          <w:lang w:val="en-US"/>
        </w:rPr>
        <w:t>Krasnodar</w:t>
      </w:r>
    </w:p>
    <w:p w14:paraId="27712370" w14:textId="77777777" w:rsidR="001B6C3B" w:rsidRDefault="001B6C3B" w:rsidP="001B6C3B">
      <w:pPr>
        <w:spacing w:after="0" w:line="240" w:lineRule="auto"/>
        <w:ind w:firstLine="4962"/>
        <w:jc w:val="both"/>
        <w:rPr>
          <w:rFonts w:ascii="Times New Roman" w:hAnsi="Times New Roman" w:cs="Times New Roman"/>
          <w:sz w:val="24"/>
          <w:szCs w:val="24"/>
          <w:lang w:bidi="en-US"/>
        </w:rPr>
      </w:pPr>
      <w:r>
        <w:rPr>
          <w:rFonts w:ascii="Times New Roman" w:hAnsi="Times New Roman" w:cs="Times New Roman"/>
          <w:sz w:val="24"/>
          <w:szCs w:val="24"/>
          <w:lang w:bidi="en-US"/>
        </w:rPr>
        <w:t>burnashkin</w:t>
      </w:r>
      <w:r>
        <w:rPr>
          <w:rFonts w:ascii="Times New Roman" w:hAnsi="Times New Roman" w:cs="Times New Roman"/>
          <w:sz w:val="24"/>
          <w:szCs w:val="24"/>
        </w:rPr>
        <w:t>.</w:t>
      </w:r>
      <w:r>
        <w:rPr>
          <w:rFonts w:ascii="Times New Roman" w:hAnsi="Times New Roman" w:cs="Times New Roman"/>
          <w:sz w:val="24"/>
          <w:szCs w:val="24"/>
          <w:lang w:bidi="en-US"/>
        </w:rPr>
        <w:t>vladislav</w:t>
      </w:r>
      <w:r>
        <w:rPr>
          <w:rFonts w:ascii="Times New Roman" w:hAnsi="Times New Roman" w:cs="Times New Roman"/>
          <w:sz w:val="24"/>
          <w:szCs w:val="24"/>
        </w:rPr>
        <w:t>@</w:t>
      </w:r>
      <w:r>
        <w:rPr>
          <w:rFonts w:ascii="Times New Roman" w:hAnsi="Times New Roman" w:cs="Times New Roman"/>
          <w:sz w:val="24"/>
          <w:szCs w:val="24"/>
          <w:lang w:bidi="en-US"/>
        </w:rPr>
        <w:t>mail</w:t>
      </w:r>
      <w:r>
        <w:rPr>
          <w:rFonts w:ascii="Times New Roman" w:hAnsi="Times New Roman" w:cs="Times New Roman"/>
          <w:sz w:val="24"/>
          <w:szCs w:val="24"/>
        </w:rPr>
        <w:t>.</w:t>
      </w:r>
      <w:r>
        <w:rPr>
          <w:rFonts w:ascii="Times New Roman" w:hAnsi="Times New Roman" w:cs="Times New Roman"/>
          <w:sz w:val="24"/>
          <w:szCs w:val="24"/>
          <w:lang w:bidi="en-US"/>
        </w:rPr>
        <w:t>ru</w:t>
      </w:r>
    </w:p>
    <w:p w14:paraId="3A695196" w14:textId="77777777" w:rsidR="001B6C3B" w:rsidRDefault="001B6C3B" w:rsidP="001B6C3B">
      <w:pPr>
        <w:spacing w:after="0" w:line="240" w:lineRule="auto"/>
        <w:jc w:val="both"/>
        <w:rPr>
          <w:rFonts w:ascii="Times New Roman" w:hAnsi="Times New Roman" w:cs="Times New Roman"/>
          <w:sz w:val="24"/>
          <w:szCs w:val="24"/>
        </w:rPr>
      </w:pPr>
    </w:p>
    <w:p w14:paraId="756BAF6C" w14:textId="77777777" w:rsidR="001B6C3B" w:rsidRDefault="001B6C3B" w:rsidP="001B6C3B">
      <w:pPr>
        <w:spacing w:after="0" w:line="240" w:lineRule="auto"/>
        <w:jc w:val="both"/>
        <w:rPr>
          <w:rFonts w:ascii="Times New Roman" w:hAnsi="Times New Roman" w:cs="Times New Roman"/>
          <w:sz w:val="24"/>
          <w:szCs w:val="24"/>
        </w:rPr>
      </w:pPr>
    </w:p>
    <w:p w14:paraId="3F35AA76" w14:textId="77777777" w:rsidR="001B6C3B" w:rsidRDefault="001B6C3B" w:rsidP="001B6C3B">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ОСОБЕННОСТИ КУПЛИ-ПРОДАЖИ ЗЕМЕЛЬНЫХ УЧАСТКОВ СЕЛЬСКОХОЗЯЙСТВЕННОГО НАЗНАЧЕНИЯ</w:t>
      </w:r>
    </w:p>
    <w:p w14:paraId="08D93DD2" w14:textId="77777777" w:rsidR="001B6C3B" w:rsidRDefault="001B6C3B" w:rsidP="001B6C3B">
      <w:pPr>
        <w:spacing w:after="0" w:line="240" w:lineRule="auto"/>
        <w:jc w:val="center"/>
        <w:rPr>
          <w:rFonts w:ascii="Times New Roman" w:hAnsi="Times New Roman" w:cs="Times New Roman"/>
          <w:b/>
          <w:sz w:val="24"/>
          <w:szCs w:val="24"/>
        </w:rPr>
      </w:pPr>
    </w:p>
    <w:p w14:paraId="112569AC" w14:textId="77777777" w:rsidR="001B6C3B" w:rsidRDefault="001B6C3B" w:rsidP="001B6C3B">
      <w:pPr>
        <w:spacing w:after="0" w:line="240" w:lineRule="auto"/>
        <w:jc w:val="center"/>
        <w:rPr>
          <w:rFonts w:ascii="Times New Roman" w:hAnsi="Times New Roman" w:cs="Times New Roman"/>
          <w:b/>
          <w:sz w:val="24"/>
          <w:szCs w:val="24"/>
          <w:lang w:val="en-US"/>
        </w:rPr>
      </w:pPr>
      <w:r>
        <w:rPr>
          <w:rFonts w:ascii="Times New Roman" w:hAnsi="Times New Roman" w:cs="Times New Roman"/>
          <w:b/>
          <w:sz w:val="24"/>
          <w:szCs w:val="24"/>
          <w:lang w:val="en-US"/>
        </w:rPr>
        <w:t>FEATURES OF PURCHASE AND SALE OF AGRICULTURAL LAND PLOTS</w:t>
      </w:r>
    </w:p>
    <w:p w14:paraId="6353B0CB" w14:textId="77777777" w:rsidR="001B6C3B" w:rsidRDefault="001B6C3B" w:rsidP="001B6C3B">
      <w:pPr>
        <w:spacing w:after="0" w:line="240" w:lineRule="auto"/>
        <w:ind w:firstLine="709"/>
        <w:jc w:val="both"/>
        <w:rPr>
          <w:rFonts w:ascii="Times New Roman" w:hAnsi="Times New Roman" w:cs="Times New Roman"/>
          <w:sz w:val="24"/>
          <w:szCs w:val="24"/>
          <w:lang w:val="en-US"/>
        </w:rPr>
      </w:pPr>
    </w:p>
    <w:p w14:paraId="1CB23643" w14:textId="77777777" w:rsidR="001B6C3B" w:rsidRDefault="001B6C3B" w:rsidP="001B6C3B">
      <w:pPr>
        <w:spacing w:after="0" w:line="240" w:lineRule="auto"/>
        <w:ind w:firstLine="709"/>
        <w:jc w:val="both"/>
        <w:rPr>
          <w:rFonts w:ascii="Times New Roman" w:hAnsi="Times New Roman" w:cs="Times New Roman"/>
          <w:sz w:val="24"/>
          <w:szCs w:val="24"/>
          <w:lang w:val="en-US"/>
        </w:rPr>
      </w:pPr>
    </w:p>
    <w:p w14:paraId="7BD86BFF"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i/>
          <w:sz w:val="24"/>
          <w:szCs w:val="24"/>
        </w:rPr>
        <w:t>Аннотация:</w:t>
      </w:r>
      <w:r>
        <w:rPr>
          <w:rFonts w:ascii="Times New Roman" w:hAnsi="Times New Roman" w:cs="Times New Roman"/>
          <w:sz w:val="24"/>
          <w:szCs w:val="24"/>
        </w:rPr>
        <w:t xml:space="preserve"> В статье проведен анализ особенностей купли-продажи земельных участков сельскохозяйственного назначения. Автором исследовано преимущественное право покупки земельных участков сельскохозяйственного назначения, принадлежащее органам публичной власти, а также приведены и исследованы нормативно-правовая база, регулирующая рассматриваемые отношения, и мнения ученых, исследователей по дискуссионным вопросам данной темы.</w:t>
      </w:r>
    </w:p>
    <w:p w14:paraId="38B416AA"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i/>
          <w:sz w:val="24"/>
          <w:szCs w:val="24"/>
        </w:rPr>
        <w:t>Ключевые слова:</w:t>
      </w:r>
      <w:r>
        <w:rPr>
          <w:rFonts w:ascii="Times New Roman" w:hAnsi="Times New Roman" w:cs="Times New Roman"/>
          <w:sz w:val="24"/>
          <w:szCs w:val="24"/>
        </w:rPr>
        <w:t xml:space="preserve"> земли сельскохозяйственного назначения; преимущественное право; купля-продажа; договор; земельный участок.</w:t>
      </w:r>
    </w:p>
    <w:p w14:paraId="6FD64981" w14:textId="77777777" w:rsidR="001B6C3B" w:rsidRDefault="001B6C3B" w:rsidP="001B6C3B">
      <w:pPr>
        <w:spacing w:after="0" w:line="240" w:lineRule="auto"/>
        <w:ind w:firstLine="709"/>
        <w:jc w:val="both"/>
        <w:rPr>
          <w:rFonts w:ascii="Times New Roman" w:hAnsi="Times New Roman" w:cs="Times New Roman"/>
          <w:sz w:val="24"/>
          <w:szCs w:val="24"/>
          <w:lang w:val="en-US"/>
        </w:rPr>
      </w:pPr>
      <w:r>
        <w:rPr>
          <w:rFonts w:ascii="Times New Roman" w:hAnsi="Times New Roman" w:cs="Times New Roman"/>
          <w:i/>
          <w:sz w:val="24"/>
          <w:szCs w:val="24"/>
          <w:lang w:val="en-US"/>
        </w:rPr>
        <w:t>Annotation:</w:t>
      </w:r>
      <w:r>
        <w:rPr>
          <w:rFonts w:ascii="Times New Roman" w:hAnsi="Times New Roman" w:cs="Times New Roman"/>
          <w:lang w:val="en-US"/>
        </w:rPr>
        <w:t xml:space="preserve"> </w:t>
      </w:r>
      <w:r>
        <w:rPr>
          <w:rFonts w:ascii="Times New Roman" w:hAnsi="Times New Roman" w:cs="Times New Roman"/>
          <w:sz w:val="24"/>
          <w:szCs w:val="24"/>
          <w:lang w:val="en-US"/>
        </w:rPr>
        <w:t>The article analyzes the features of buying and selling agricultural land plots. The author investigates the pre-emptive right to purchase agricultural land owned by public authorities, as well as provides and studies the legal framework governing the relations under consideration, and the opinions of scientists and researchers on the controversial issues of this topic.</w:t>
      </w:r>
    </w:p>
    <w:p w14:paraId="0ACEBA3A" w14:textId="77777777" w:rsidR="001B6C3B" w:rsidRDefault="001B6C3B" w:rsidP="001B6C3B">
      <w:pPr>
        <w:spacing w:after="0" w:line="240" w:lineRule="auto"/>
        <w:ind w:firstLine="709"/>
        <w:jc w:val="both"/>
        <w:rPr>
          <w:rFonts w:ascii="Times New Roman" w:hAnsi="Times New Roman" w:cs="Times New Roman"/>
          <w:sz w:val="24"/>
          <w:szCs w:val="24"/>
          <w:lang w:val="en-US"/>
        </w:rPr>
      </w:pPr>
      <w:r>
        <w:rPr>
          <w:rFonts w:ascii="Times New Roman" w:hAnsi="Times New Roman" w:cs="Times New Roman"/>
          <w:i/>
          <w:sz w:val="24"/>
          <w:szCs w:val="24"/>
          <w:lang w:val="en-US"/>
        </w:rPr>
        <w:t>Keywords:</w:t>
      </w:r>
      <w:r>
        <w:rPr>
          <w:rFonts w:ascii="Times New Roman" w:hAnsi="Times New Roman" w:cs="Times New Roman"/>
          <w:lang w:val="en-US"/>
        </w:rPr>
        <w:t xml:space="preserve"> </w:t>
      </w:r>
      <w:r>
        <w:rPr>
          <w:rFonts w:ascii="Times New Roman" w:hAnsi="Times New Roman" w:cs="Times New Roman"/>
          <w:sz w:val="24"/>
          <w:szCs w:val="24"/>
          <w:lang w:val="en-US"/>
        </w:rPr>
        <w:t>agricultural land; pre-emptive right; purchase and sale; contract; land plot.</w:t>
      </w:r>
    </w:p>
    <w:p w14:paraId="37CAE6F6" w14:textId="77777777" w:rsidR="001B6C3B" w:rsidRDefault="001B6C3B" w:rsidP="001B6C3B">
      <w:pPr>
        <w:spacing w:after="0" w:line="240" w:lineRule="auto"/>
        <w:ind w:firstLine="709"/>
        <w:jc w:val="both"/>
        <w:rPr>
          <w:rFonts w:ascii="Times New Roman" w:hAnsi="Times New Roman" w:cs="Times New Roman"/>
          <w:sz w:val="24"/>
          <w:szCs w:val="24"/>
          <w:lang w:val="en-US"/>
        </w:rPr>
      </w:pPr>
    </w:p>
    <w:p w14:paraId="7E0B456D" w14:textId="77777777" w:rsidR="001B6C3B" w:rsidRDefault="001B6C3B" w:rsidP="001B6C3B">
      <w:pPr>
        <w:spacing w:after="0" w:line="240" w:lineRule="auto"/>
        <w:ind w:firstLine="709"/>
        <w:jc w:val="both"/>
        <w:rPr>
          <w:rFonts w:ascii="Times New Roman" w:hAnsi="Times New Roman" w:cs="Times New Roman"/>
          <w:sz w:val="24"/>
          <w:szCs w:val="24"/>
          <w:lang w:val="en-US"/>
        </w:rPr>
      </w:pPr>
    </w:p>
    <w:p w14:paraId="1173738A"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Земли сельскохозяйственного назначения в Российской Федерации имеют приоритет по сравнению с иными категориями земель. Это обусловлено тем, что сельское хозяйство исторически занимает особое положение в народном хозяйстве нашей страны, поскольку обеспечивает население жизненно необходимым продовольствием, а также другие отрасли экономики сырьем.</w:t>
      </w:r>
    </w:p>
    <w:p w14:paraId="1524423D"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п. 1 ст. 77 Земельного кодекса Российской Федерации (далее – ЗК РФ)</w:t>
      </w:r>
      <w:r>
        <w:rPr>
          <w:rStyle w:val="a7"/>
          <w:rFonts w:ascii="Times New Roman" w:hAnsi="Times New Roman" w:cs="Times New Roman"/>
          <w:sz w:val="24"/>
          <w:szCs w:val="24"/>
        </w:rPr>
        <w:footnoteReference w:id="75"/>
      </w:r>
      <w:r>
        <w:rPr>
          <w:rFonts w:ascii="Times New Roman" w:hAnsi="Times New Roman" w:cs="Times New Roman"/>
          <w:sz w:val="24"/>
          <w:szCs w:val="24"/>
        </w:rPr>
        <w:t xml:space="preserve"> законодатель перечисляет два признака, которым должны соответствовать земли сельскохозяйственного назначения:</w:t>
      </w:r>
    </w:p>
    <w:p w14:paraId="2B0DCE1E"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1) данные земли должны находиться за границами населенного пункта;</w:t>
      </w:r>
    </w:p>
    <w:p w14:paraId="4BA911F7"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 предоставленные и предназначенные для нужд и целей сельского хозяйства.</w:t>
      </w:r>
    </w:p>
    <w:p w14:paraId="30230BFF"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Для определения того, соответствуют ли земли первому признаку, необходимо обратиться к генеральному плану населенного пункта и документам территориального </w:t>
      </w:r>
      <w:r>
        <w:rPr>
          <w:rFonts w:ascii="Times New Roman" w:hAnsi="Times New Roman" w:cs="Times New Roman"/>
          <w:sz w:val="24"/>
          <w:szCs w:val="24"/>
        </w:rPr>
        <w:lastRenderedPageBreak/>
        <w:t xml:space="preserve">планирования муниципального района. Раскрывая содержание второго признака, следует проанализировать положения иных статей ЗК РФ, а также положения других федеральных законов. Согласно ст. 78 ЗК РФ земли сельскохозяйственного назначения могут использоваться в следующих целях: </w:t>
      </w:r>
    </w:p>
    <w:p w14:paraId="4B8FF241"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ведения сельскохозяйственного производства;</w:t>
      </w:r>
    </w:p>
    <w:p w14:paraId="6C4D7F6D"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иных связанных с сельскохозяйственным производством;</w:t>
      </w:r>
    </w:p>
    <w:p w14:paraId="741E744D"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Следовательно, в ЗК РФ предусмотрено всего лишь две цели использования земель сельскохозяйственного назначения, из которых первостепенную роль имеет сельскохозяйственное производство. При этом ЗК РФ не определяет данное понятие. Чтобы раскрыть его содержание, следует обратиться к ч. 1 ст. 4 Федерального закона от 29.12.2006 № 264-ФЗ «О развитии сельского хозяйства»</w:t>
      </w:r>
      <w:r>
        <w:rPr>
          <w:rStyle w:val="a7"/>
          <w:rFonts w:ascii="Times New Roman" w:hAnsi="Times New Roman" w:cs="Times New Roman"/>
          <w:sz w:val="24"/>
          <w:szCs w:val="24"/>
        </w:rPr>
        <w:footnoteReference w:id="76"/>
      </w:r>
      <w:r>
        <w:rPr>
          <w:rFonts w:ascii="Times New Roman" w:hAnsi="Times New Roman" w:cs="Times New Roman"/>
          <w:sz w:val="24"/>
          <w:szCs w:val="24"/>
        </w:rPr>
        <w:t>, согласно которому сельскохозяйственное производство представляет собой совокупность видов экономической деятельности по выращиванию, производству и переработке сельскохозяйственной продукции, сырья и продовольствия, в том числе оказание соответствующих услуг. К иным связанным с сельскохозяйственным производством целям ЗК РФ относит создание защитных лесных насаждений, научно-исследовательские, учебные цели, осуществление видов деятельности в сфере охотничьего хозяйства, и другие.</w:t>
      </w:r>
    </w:p>
    <w:p w14:paraId="4F60A9FA"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Особая значимость земель сельскохозяйственного назначения для народного хозяйства страны выражается, в первую очередь, в установлении особенностей оборота соответствующих земель в отдельном законодательном акте, а именно Федеральном законе от 24.07.2002 № 101-ФЗ «Об обороте земель сельскохозяйственного назначения» (далее – Закон № 101-ФЗ)</w:t>
      </w:r>
      <w:r>
        <w:rPr>
          <w:rStyle w:val="a7"/>
          <w:rFonts w:ascii="Times New Roman" w:hAnsi="Times New Roman" w:cs="Times New Roman"/>
          <w:sz w:val="24"/>
          <w:szCs w:val="24"/>
        </w:rPr>
        <w:footnoteReference w:id="77"/>
      </w:r>
      <w:r>
        <w:rPr>
          <w:rFonts w:ascii="Times New Roman" w:hAnsi="Times New Roman" w:cs="Times New Roman"/>
          <w:sz w:val="24"/>
          <w:szCs w:val="24"/>
        </w:rPr>
        <w:t>. Одной из предусмотренных в Законе № 101-ФЗ особенностей является закрепление за субъектом Российской Федерации преимущественного права покупки земельного участка из земель сельскохозяйственного назначения. Однако, в случаях, установленных законом субъекта Российской Федерации, указанным правом может обладать муниципальное образование. Так, во исполнение и в соответствии со ст. 8 Закона № 101-ФЗ, а также ст. 26 Закона Краснодарского края от 5 ноября 2002 года № 532-КЗ «Об основах регулирования земельных отношений в Краснодарском крае»</w:t>
      </w:r>
      <w:r>
        <w:rPr>
          <w:rStyle w:val="a7"/>
          <w:rFonts w:ascii="Times New Roman" w:hAnsi="Times New Roman" w:cs="Times New Roman"/>
          <w:sz w:val="24"/>
          <w:szCs w:val="24"/>
        </w:rPr>
        <w:footnoteReference w:id="78"/>
      </w:r>
      <w:r>
        <w:rPr>
          <w:rFonts w:ascii="Times New Roman" w:hAnsi="Times New Roman" w:cs="Times New Roman"/>
          <w:sz w:val="24"/>
          <w:szCs w:val="24"/>
        </w:rPr>
        <w:t>, предусматривающей соответствующее преимущественное право, в Краснодарском крае принят Закон Краснодарского края от 26 декабря 2012 года № 2643-КЗ «О преимущественном праве муниципальных образований Краснодарского края на покупку земельных участков из земель сельскохозяйственного назначения»</w:t>
      </w:r>
      <w:r>
        <w:rPr>
          <w:rStyle w:val="a7"/>
          <w:rFonts w:ascii="Times New Roman" w:hAnsi="Times New Roman" w:cs="Times New Roman"/>
          <w:sz w:val="24"/>
          <w:szCs w:val="24"/>
        </w:rPr>
        <w:footnoteReference w:id="79"/>
      </w:r>
      <w:r>
        <w:rPr>
          <w:rFonts w:ascii="Times New Roman" w:hAnsi="Times New Roman" w:cs="Times New Roman"/>
          <w:sz w:val="24"/>
          <w:szCs w:val="24"/>
        </w:rPr>
        <w:t xml:space="preserve">, который устанавливает случаи преимущественного права приобретения земельного участка из земель сельскохозяйственного назначения муниципальными образованиями, расположенными на территории Краснодарского края. Согласно ст. 2, 3, 4 приведенного закона Краснодарского края орган местного самоуправления муниципального образования имеет преимущественное право покупки земельного участка из земель сельскохозяйственного назначения только в случае, если согласно генеральному плану и документам территориального планирования на данном земельном участке либо на его части предусмотрено размещение мест погребения, очистных сооружений, источников водоснабжения населения питьевой водой, объектов утилизации и переработки бытовых и промышленных отходов. При этом стоит обратить внимание на то, что допущенные в статьях 2, 3, 4 Закона Краснодарского края от 26 декабря 2012 года № 2643-КЗ «О преимущественном праве муниципальных образований Краснодарского края на покупку земельных участков из земель сельскохозяйственного назначения» формулировки не соответствуют положениям ст. </w:t>
      </w:r>
      <w:r>
        <w:rPr>
          <w:rFonts w:ascii="Times New Roman" w:hAnsi="Times New Roman" w:cs="Times New Roman"/>
          <w:sz w:val="24"/>
          <w:szCs w:val="24"/>
        </w:rPr>
        <w:lastRenderedPageBreak/>
        <w:t>5 ЗК РФ и ст. 2 Гражданского кодекса Российской Федерации (далее – ГК РФ). Поскольку участниками земельных отношений, а также имущественных отношений по распоряжению земельными участками, являются граждане, юридические лица, Российская Федерация, субъекты Российской Федерации, муниципальные образования. Органы муниципального образования в силу п. 2 ст. 125 ГК РФ лишь приобретают и осуществляют права и обязанности от имени муниципальных образований. Таким образом, только в исключительных случаях преимущественное право покупки земельного участка принадлежит муниципальным образованиям, находящимся на территории Краснодарского края. При отсутствии указанных случаев преимущественное право покупки земельного участка принадлежит Краснодарскому краю.</w:t>
      </w:r>
    </w:p>
    <w:p w14:paraId="4A65CD56"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Согласно п. 2 ст. 8 Закона № 101-ФЗ продавец – гражданин или юридическое лицо, которым земельный участок из земель сельскохозяйственного назначения принадлежит на праве собственности – обязан известить в письменной форме о намерении продать соответствующий земельный участок высший исполнительный орган государственной власти субъекта Российской Федерации или в случаях, установленных законом субъекта Российской Федерации, орган местного самоуправления. В таком извещении обязательно указываются цена, размер, местоположение земельного участка и срок, до истечения которого должен быть осуществлен взаимный расчет, причем данный срок не должен превышать девяносто дней.</w:t>
      </w:r>
    </w:p>
    <w:p w14:paraId="3E833D33"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Определяя в статье 8 Закона № 101-ФЗ особенности купли-продажи земельного участка из земель сельскохозяйственного назначения, законодатель ограничился лишь указанием на необходимость направления извещения конкретному адресату, а также срок его рассмотрения. Тем самым, предоставив право определять порядок рассмотрения извещения самому высшему исполнительному органу государственной власти субъекта Российской Федерации. В Краснодарском крае порядок рассмотрения извещений о продаже земельных участков из земель сельскохозяйственного назначения утвержден постановлением главы администрации Краснодарского края от 10 января 2003 года № 26 «О реализации Краснодарским краем преимущественного права покупки земельных участков из земель сельскохозяйственного назначения» (далее – Постановление № 26)</w:t>
      </w:r>
      <w:r>
        <w:rPr>
          <w:rStyle w:val="a7"/>
          <w:rFonts w:ascii="Times New Roman" w:hAnsi="Times New Roman" w:cs="Times New Roman"/>
          <w:sz w:val="24"/>
          <w:szCs w:val="24"/>
        </w:rPr>
        <w:footnoteReference w:id="80"/>
      </w:r>
      <w:r>
        <w:rPr>
          <w:rFonts w:ascii="Times New Roman" w:hAnsi="Times New Roman" w:cs="Times New Roman"/>
          <w:sz w:val="24"/>
          <w:szCs w:val="24"/>
        </w:rPr>
        <w:t>. В соответствии с предусмотренным постановлением порядок рассмотрения извещения выглядит следующим образом. Извещение направляется заказным письмом с уведомлением о вручении по адресу администрации Краснодарского края либо вручается под роспись должностному лицу отдела служебной переписки управления делами администрации Краснодарского края. В течение трех календарных дней с момента получения настоящего извещения отдел служебной переписки управления делами администрации Краснодарского края направляет подлинник извещения в департамент имущественных отношений Краснодарского края, а при наличии в краевом бюджете денежных средств, также направляет копии извещения в министерство сельского хозяйства и перерабатывающей промышленности Краснодарского края. В течение двенадцати дней министерство сельского хозяйства и перерабатывающей промышленности Краснодарского края подготавливает заключение о целесообразности приобретения земельного участка и направляет его в департамент имущественных отношений Краснодарского края. В случае представления положительного заключения о целесообразности приобретения земельного участка департамент имущественных отношений Краснодарского края в течение тридцати дней направляет собственнику в письменной форме уведомление о намерении приобрести указанный земельный участок. В случае отказа от приобретения земельного участка департамент имущественных отношений Краснодарского края размещает на своем официальном сайте информацию об отказе от реализации преимущественного права покупки с подробным указанием собственника и характеристик земельного участка.</w:t>
      </w:r>
    </w:p>
    <w:p w14:paraId="4BCFA904"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Анализируя положения приведенного Постановления № 26, можно утверждать, что реализация преимущественного права покупки земельного участка из земель сельскохозяйственного назначения во многом зависит от наличия в краевом бюджете денежных средств, достаточных для приобретения земельного участка в указанный в извещении срок. Для этих целей глава администрации Краснодарского края постановил министерству финансов Краснодарского края ежегодно при формировании краевого бюджета учитывать предложения департамента имущественных отношений Краснодарского края о расходах на приобретение земельных участков.</w:t>
      </w:r>
    </w:p>
    <w:p w14:paraId="7893CFF9"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После направления извещения о намерении приобрести земельный участок из земель сельскохозяйственного назначения собственник и уполномоченный орган публичной власти совершают юридически необходимые действия, направленные на заключение договора купли-продажи в порядке, предусмотренном гражданским законодательством. К договору купли-продажи земельного участка сельскохозяйственного назначения применяются правила, установленные параграфом седьмым о продаже недвижимости главы тридцатой ГК РФ.</w:t>
      </w:r>
    </w:p>
    <w:p w14:paraId="599E7546"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Договор купли-продажи недвижимости по юридическим признакам является консенсуальным, двустороннеобязывающим и возмездным.</w:t>
      </w:r>
      <w:r>
        <w:rPr>
          <w:rStyle w:val="a7"/>
          <w:rFonts w:ascii="Times New Roman" w:hAnsi="Times New Roman" w:cs="Times New Roman"/>
          <w:sz w:val="24"/>
          <w:szCs w:val="24"/>
        </w:rPr>
        <w:footnoteReference w:id="81"/>
      </w:r>
    </w:p>
    <w:p w14:paraId="2F05D4F9"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Содержанием договора являются его условия. Ранее мы указали, что договор купли-продажи недвижимости является консенсуальным, следовательно, необходимо и достаточно достижения соглашения по всем существенным условиям данного договора. В соответствии со ст. 432 ГК РФ существенными являются условия, во-первых, о предмете, во-вторых, которые названы в законе или иных правовых актах как существенные, в-третьих, которые названы в законе или иных правовых актах как необходимые для данного вида договора, в-четвертых, по которым по заявлению одной из сторон должно быть достигнуто соглашение. Основываясь на положениях ГК РФ, существенными условиями договора продажи недвижимости можно назвать условия о предмете договора и о цене.</w:t>
      </w:r>
      <w:r>
        <w:rPr>
          <w:rStyle w:val="a7"/>
          <w:rFonts w:ascii="Times New Roman" w:hAnsi="Times New Roman" w:cs="Times New Roman"/>
          <w:sz w:val="24"/>
          <w:szCs w:val="24"/>
        </w:rPr>
        <w:footnoteReference w:id="82"/>
      </w:r>
    </w:p>
    <w:p w14:paraId="0DC8266F"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Согласно ст. 554 ГК РФ в договоре купли-продажи недвижимости необходимо указать данные, которые позволяют определенно установить передаваемое недвижимое имущество. При этом Высший Арбитражный Суд Российской Федерации в своем постановлении указал, что при наличии кадастрового номера объекта недвижимости достаточно указать его в договоре, чтобы индивидуализировать предмет.</w:t>
      </w:r>
      <w:r>
        <w:rPr>
          <w:rStyle w:val="a7"/>
          <w:rFonts w:ascii="Times New Roman" w:hAnsi="Times New Roman" w:cs="Times New Roman"/>
          <w:sz w:val="24"/>
          <w:szCs w:val="24"/>
        </w:rPr>
        <w:footnoteReference w:id="83"/>
      </w:r>
    </w:p>
    <w:p w14:paraId="527718DC"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К числу существенных условий договора купли-продажи земельного участка сельскохозяйственного назначения относят цену участка. Поскольку согласно ст. 555 ГК РФ при отсутствии данных о цене такой договор будет считаться незаключенным.</w:t>
      </w:r>
    </w:p>
    <w:p w14:paraId="3E019407"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Некоторые ученые, исследователи в своих работах указывают на необходимость предусмотреть в качестве существенных условий договора купли-продажи земельного участка сельскохозяйственного назначения и другие условия. Иконицкая И.А. предлагает отнести к таковым условие о сроке передачи земельного участка продавцом.</w:t>
      </w:r>
      <w:r>
        <w:rPr>
          <w:rStyle w:val="a7"/>
          <w:rFonts w:ascii="Times New Roman" w:hAnsi="Times New Roman" w:cs="Times New Roman"/>
          <w:sz w:val="24"/>
          <w:szCs w:val="24"/>
        </w:rPr>
        <w:footnoteReference w:id="84"/>
      </w:r>
      <w:r>
        <w:rPr>
          <w:rFonts w:ascii="Times New Roman" w:hAnsi="Times New Roman" w:cs="Times New Roman"/>
          <w:sz w:val="24"/>
          <w:szCs w:val="24"/>
        </w:rPr>
        <w:t xml:space="preserve"> Костина О.В. предлагает включить в число существенных условие о качестве продаваемого земельного участка.</w:t>
      </w:r>
      <w:r>
        <w:rPr>
          <w:rStyle w:val="a7"/>
          <w:rFonts w:ascii="Times New Roman" w:hAnsi="Times New Roman" w:cs="Times New Roman"/>
          <w:sz w:val="24"/>
          <w:szCs w:val="24"/>
        </w:rPr>
        <w:footnoteReference w:id="85"/>
      </w:r>
      <w:r>
        <w:rPr>
          <w:rFonts w:ascii="Times New Roman" w:hAnsi="Times New Roman" w:cs="Times New Roman"/>
          <w:sz w:val="24"/>
          <w:szCs w:val="24"/>
        </w:rPr>
        <w:t xml:space="preserve"> Мы поддерживаем данные точки зрения, ведь от своевременности передачи земельного участка зависит возможность проведения сельскохозяйственных работ в текущем сезоне, а от качества земельного участка напрямую зависит использование данного участка по назначению для сельскохозяйственного производства. Причем данные обстоятельства </w:t>
      </w:r>
      <w:r>
        <w:rPr>
          <w:rFonts w:ascii="Times New Roman" w:hAnsi="Times New Roman" w:cs="Times New Roman"/>
          <w:sz w:val="24"/>
          <w:szCs w:val="24"/>
        </w:rPr>
        <w:lastRenderedPageBreak/>
        <w:t>непосредственно влияют и на цену договора. Но в юридической литературе по-прежнему остается открытым вопрос о механизме определения качества земельного участка для заключения настоящего договора.</w:t>
      </w:r>
    </w:p>
    <w:p w14:paraId="5D989DCB"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научной литературе остается дискуссионным вопрос о том, с какого момента должны исчисляться девяносто дней, предусмотренные для осуществления взаиморасчетов: с момента получения извещения органом, заключения договора или государственной регистрации перехода права собственности на земельный участок?</w:t>
      </w:r>
      <w:r>
        <w:rPr>
          <w:rStyle w:val="a7"/>
          <w:rFonts w:ascii="Times New Roman" w:hAnsi="Times New Roman" w:cs="Times New Roman"/>
          <w:sz w:val="24"/>
          <w:szCs w:val="24"/>
        </w:rPr>
        <w:footnoteReference w:id="86"/>
      </w:r>
      <w:r>
        <w:rPr>
          <w:rFonts w:ascii="Times New Roman" w:hAnsi="Times New Roman" w:cs="Times New Roman"/>
          <w:sz w:val="24"/>
          <w:szCs w:val="24"/>
        </w:rPr>
        <w:t xml:space="preserve"> Румянцев Ф.П. считает, что течение указанного срока должно начинаться с момента заключения договора купли-продажи земельного участка.</w:t>
      </w:r>
      <w:r>
        <w:rPr>
          <w:rStyle w:val="a7"/>
          <w:rFonts w:ascii="Times New Roman" w:hAnsi="Times New Roman" w:cs="Times New Roman"/>
          <w:sz w:val="24"/>
          <w:szCs w:val="24"/>
        </w:rPr>
        <w:footnoteReference w:id="87"/>
      </w:r>
      <w:r>
        <w:rPr>
          <w:rFonts w:ascii="Times New Roman" w:hAnsi="Times New Roman" w:cs="Times New Roman"/>
          <w:sz w:val="24"/>
          <w:szCs w:val="24"/>
        </w:rPr>
        <w:t xml:space="preserve"> На наш взгляд, девяносто дней следует исчислять с момента получения надлежащего извещения высшим исполнительным органом государственной власти субъекта Российской Федерации. Данное утверждение основывается на следующем. Во-первых, срок обязан устанавливать собственник земельного участка в извещении. Во-вторых, как мы указывали ранее, реализация преимущественного права покупки напрямую зависит от наличия в бюджете достаточных для приобретения денежных средств, следовательно, имея необходимую сумму, возможно произвести выплаты по договору в короткие сроки. В-третьих, исчисление срока с момента заключения договора создаст ситуацию, при которой взаиморасчеты могут растянуться на продолжительный период (около полугода), включая месяц на рассмотрение извещения, срок на совершение юридически необходимых действий по заключению договора, девяносто дней на осуществление взаиморасчетов.</w:t>
      </w:r>
    </w:p>
    <w:p w14:paraId="42EA5900"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На основании вышеизложенного можно сделать вывод, что земли сельскохозяйственного назначения имеют особую значимость для народного хозяйства страны, что, в первую очередь, проявляется в особенностях купли-продажи земельных участков из земель сельскохозяйственного назначения.</w:t>
      </w:r>
    </w:p>
    <w:p w14:paraId="33653030" w14:textId="77777777" w:rsidR="001B6C3B" w:rsidRDefault="001B6C3B" w:rsidP="001B6C3B">
      <w:pPr>
        <w:spacing w:after="0" w:line="240" w:lineRule="auto"/>
        <w:ind w:firstLine="709"/>
        <w:jc w:val="both"/>
        <w:rPr>
          <w:rFonts w:ascii="Times New Roman" w:hAnsi="Times New Roman" w:cs="Times New Roman"/>
          <w:sz w:val="24"/>
          <w:szCs w:val="24"/>
        </w:rPr>
      </w:pPr>
    </w:p>
    <w:p w14:paraId="4BF67D73" w14:textId="77777777" w:rsidR="001B6C3B" w:rsidRDefault="001B6C3B" w:rsidP="001B6C3B">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Библиографический список</w:t>
      </w:r>
    </w:p>
    <w:p w14:paraId="4A3780B7" w14:textId="77777777" w:rsidR="001B6C3B" w:rsidRDefault="001B6C3B" w:rsidP="001B6C3B">
      <w:pPr>
        <w:spacing w:after="0" w:line="240" w:lineRule="auto"/>
        <w:jc w:val="center"/>
        <w:rPr>
          <w:rFonts w:ascii="Times New Roman" w:hAnsi="Times New Roman" w:cs="Times New Roman"/>
          <w:b/>
          <w:sz w:val="24"/>
          <w:szCs w:val="24"/>
        </w:rPr>
      </w:pPr>
    </w:p>
    <w:p w14:paraId="4E51C173" w14:textId="77777777" w:rsidR="001B6C3B" w:rsidRDefault="001B6C3B" w:rsidP="001B6C3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 Гражданское право. В 2 ч. Ч. 2: учебник для студентов вузов, обучающихся по направлению «Юриспруденция» / под ред. В.П. Камышанского, Н.М. Коршунова, В.И. Иванова. – М.: ЮНИТИ-ДАНА, 2012. – 751 с.</w:t>
      </w:r>
    </w:p>
    <w:p w14:paraId="317731DE" w14:textId="77777777" w:rsidR="001B6C3B" w:rsidRDefault="001B6C3B" w:rsidP="001B6C3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 Гражданское право РФ (особенная часть) : учеб.-метод. пособие / Л. И. Попова, В. П. Камышанский, А. Ю. Дудченко. – Краснодар: КубГАУ, 2015. – 256 с.</w:t>
      </w:r>
    </w:p>
    <w:p w14:paraId="44C0EA5D" w14:textId="77777777" w:rsidR="001B6C3B" w:rsidRDefault="001B6C3B" w:rsidP="001B6C3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 Договорные отношения сельскохозяйственных производителей. Монография / Беляева З.С., Землякова Г.Л., Иконицкая И.А., Козырь М.И. и др.; Под ред: Беляевой З.С., Иконицкая И.А. – М.: КолосС, 2003. – 256 с.</w:t>
      </w:r>
    </w:p>
    <w:p w14:paraId="37EBCE06" w14:textId="77777777" w:rsidR="001B6C3B" w:rsidRDefault="001B6C3B" w:rsidP="001B6C3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4. Костина О. В. О существенных условиях договора купли-продажи земельных участков // Нотариус. – 2010. – № 2. – С. 23-26.</w:t>
      </w:r>
    </w:p>
    <w:p w14:paraId="6C4B86A8" w14:textId="77777777" w:rsidR="001B6C3B" w:rsidRDefault="001B6C3B" w:rsidP="001B6C3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5. Паршин А. Преимущественное право покупки у субъекта Российской Федерации земель сельскохозяйственного назначения // Правовые вопросы недвижимости. – 2006. – № 1. – С. 40-45.</w:t>
      </w:r>
    </w:p>
    <w:p w14:paraId="2879CA00" w14:textId="77777777" w:rsidR="001B6C3B" w:rsidRDefault="001B6C3B" w:rsidP="001B6C3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6. Румянцев Ф.П. Особенности договора купли-продажи земельных участков сельскохозяйственного назначения // Журнал российского права. – 2013. – № 8. – С. 25-33.</w:t>
      </w:r>
    </w:p>
    <w:p w14:paraId="63473C49"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w:t>
      </w:r>
    </w:p>
    <w:p w14:paraId="3EE0B800" w14:textId="77777777" w:rsidR="001B6C3B" w:rsidRDefault="001B6C3B" w:rsidP="001B6C3B">
      <w:pPr>
        <w:spacing w:after="0" w:line="240" w:lineRule="auto"/>
        <w:rPr>
          <w:rFonts w:ascii="Times New Roman" w:hAnsi="Times New Roman" w:cs="Times New Roman"/>
          <w:sz w:val="24"/>
          <w:szCs w:val="24"/>
        </w:rPr>
        <w:sectPr w:rsidR="001B6C3B">
          <w:footnotePr>
            <w:numRestart w:val="eachPage"/>
          </w:footnotePr>
          <w:pgSz w:w="11906" w:h="16838"/>
          <w:pgMar w:top="1134" w:right="1134" w:bottom="1134" w:left="1134" w:header="709" w:footer="709" w:gutter="0"/>
          <w:cols w:space="720"/>
        </w:sectPr>
      </w:pPr>
    </w:p>
    <w:p w14:paraId="67504004" w14:textId="77777777" w:rsidR="001B6C3B" w:rsidRDefault="001B6C3B" w:rsidP="001B6C3B">
      <w:pPr>
        <w:pStyle w:val="2"/>
        <w:spacing w:before="0" w:beforeAutospacing="0" w:after="0" w:afterAutospacing="0"/>
        <w:ind w:left="5245"/>
        <w:jc w:val="both"/>
        <w:rPr>
          <w:b w:val="0"/>
          <w:bCs w:val="0"/>
          <w:sz w:val="24"/>
          <w:szCs w:val="24"/>
          <w:lang w:val="x-none" w:eastAsia="x-none"/>
        </w:rPr>
      </w:pPr>
      <w:r>
        <w:rPr>
          <w:sz w:val="24"/>
          <w:szCs w:val="24"/>
          <w:lang w:val="x-none" w:eastAsia="x-none"/>
        </w:rPr>
        <w:lastRenderedPageBreak/>
        <w:t>УДК 347.121.2</w:t>
      </w:r>
    </w:p>
    <w:p w14:paraId="0CB4B671" w14:textId="77777777" w:rsidR="001B6C3B" w:rsidRDefault="001B6C3B" w:rsidP="001B6C3B">
      <w:pPr>
        <w:suppressAutoHyphens/>
        <w:spacing w:after="0" w:line="240" w:lineRule="auto"/>
        <w:ind w:left="5245" w:firstLine="709"/>
        <w:jc w:val="both"/>
        <w:rPr>
          <w:rFonts w:ascii="Times New Roman" w:eastAsia="Times New Roman" w:hAnsi="Times New Roman" w:cs="Times New Roman"/>
          <w:b/>
          <w:sz w:val="24"/>
          <w:szCs w:val="24"/>
          <w:lang w:bidi="en-US"/>
        </w:rPr>
      </w:pPr>
    </w:p>
    <w:p w14:paraId="0BC7D07D" w14:textId="77777777" w:rsidR="001B6C3B" w:rsidRDefault="001B6C3B" w:rsidP="001B6C3B">
      <w:pPr>
        <w:suppressAutoHyphens/>
        <w:spacing w:after="0" w:line="240" w:lineRule="auto"/>
        <w:ind w:left="5245"/>
        <w:jc w:val="both"/>
        <w:rPr>
          <w:rFonts w:ascii="Times New Roman" w:eastAsia="Times New Roman" w:hAnsi="Times New Roman" w:cs="Times New Roman"/>
          <w:b/>
          <w:sz w:val="24"/>
          <w:szCs w:val="24"/>
          <w:lang w:bidi="en-US"/>
        </w:rPr>
      </w:pPr>
      <w:r>
        <w:rPr>
          <w:rFonts w:ascii="Times New Roman" w:eastAsia="Times New Roman" w:hAnsi="Times New Roman" w:cs="Times New Roman"/>
          <w:b/>
          <w:sz w:val="24"/>
          <w:szCs w:val="24"/>
          <w:lang w:bidi="en-US"/>
        </w:rPr>
        <w:t xml:space="preserve"> Бутовец Анастасия Витальевна</w:t>
      </w:r>
    </w:p>
    <w:p w14:paraId="0B96112C" w14:textId="77777777" w:rsidR="001B6C3B" w:rsidRDefault="001B6C3B" w:rsidP="001B6C3B">
      <w:pPr>
        <w:suppressAutoHyphens/>
        <w:spacing w:after="0" w:line="240" w:lineRule="auto"/>
        <w:ind w:left="5245"/>
        <w:jc w:val="both"/>
        <w:rPr>
          <w:rFonts w:ascii="Times New Roman" w:eastAsia="Times New Roman" w:hAnsi="Times New Roman" w:cs="Times New Roman"/>
          <w:b/>
          <w:sz w:val="24"/>
          <w:szCs w:val="24"/>
          <w:lang w:bidi="en-US"/>
        </w:rPr>
      </w:pPr>
      <w:r>
        <w:rPr>
          <w:rFonts w:ascii="Times New Roman" w:eastAsia="Times New Roman" w:hAnsi="Times New Roman" w:cs="Times New Roman"/>
          <w:b/>
          <w:sz w:val="24"/>
          <w:szCs w:val="24"/>
          <w:lang w:bidi="en-US"/>
        </w:rPr>
        <w:t xml:space="preserve"> </w:t>
      </w:r>
      <w:r>
        <w:rPr>
          <w:rFonts w:ascii="Times New Roman" w:eastAsia="Times New Roman" w:hAnsi="Times New Roman" w:cs="Times New Roman"/>
          <w:b/>
          <w:sz w:val="24"/>
          <w:szCs w:val="24"/>
          <w:lang w:val="en-US" w:bidi="en-US"/>
        </w:rPr>
        <w:t>Butovec</w:t>
      </w:r>
      <w:r w:rsidRPr="00430C1C">
        <w:rPr>
          <w:rFonts w:ascii="Times New Roman" w:eastAsia="Times New Roman" w:hAnsi="Times New Roman" w:cs="Times New Roman"/>
          <w:b/>
          <w:sz w:val="24"/>
          <w:szCs w:val="24"/>
          <w:lang w:bidi="en-US"/>
        </w:rPr>
        <w:t xml:space="preserve"> </w:t>
      </w:r>
      <w:r>
        <w:rPr>
          <w:rFonts w:ascii="Times New Roman" w:eastAsia="Times New Roman" w:hAnsi="Times New Roman" w:cs="Times New Roman"/>
          <w:b/>
          <w:sz w:val="24"/>
          <w:szCs w:val="24"/>
          <w:lang w:val="en-US" w:bidi="en-US"/>
        </w:rPr>
        <w:t>Anastasia</w:t>
      </w:r>
      <w:r w:rsidRPr="00430C1C">
        <w:rPr>
          <w:rFonts w:ascii="Times New Roman" w:eastAsia="Times New Roman" w:hAnsi="Times New Roman" w:cs="Times New Roman"/>
          <w:b/>
          <w:sz w:val="24"/>
          <w:szCs w:val="24"/>
          <w:lang w:bidi="en-US"/>
        </w:rPr>
        <w:t xml:space="preserve"> </w:t>
      </w:r>
      <w:r>
        <w:rPr>
          <w:rFonts w:ascii="Times New Roman" w:eastAsia="Times New Roman" w:hAnsi="Times New Roman" w:cs="Times New Roman"/>
          <w:b/>
          <w:sz w:val="24"/>
          <w:szCs w:val="24"/>
          <w:lang w:val="en-US" w:bidi="en-US"/>
        </w:rPr>
        <w:t>Vitalievna</w:t>
      </w:r>
    </w:p>
    <w:p w14:paraId="171D7C96" w14:textId="77777777" w:rsidR="001B6C3B" w:rsidRDefault="001B6C3B" w:rsidP="001B6C3B">
      <w:pPr>
        <w:spacing w:after="0" w:line="240" w:lineRule="auto"/>
        <w:ind w:left="5245"/>
        <w:jc w:val="both"/>
        <w:rPr>
          <w:rFonts w:ascii="Times New Roman" w:eastAsia="Times New Roman" w:hAnsi="Times New Roman" w:cs="Times New Roman"/>
          <w:sz w:val="24"/>
          <w:szCs w:val="24"/>
          <w:lang w:bidi="en-US"/>
        </w:rPr>
      </w:pPr>
      <w:r>
        <w:rPr>
          <w:rFonts w:ascii="Times New Roman" w:eastAsia="Times New Roman" w:hAnsi="Times New Roman" w:cs="Times New Roman"/>
          <w:sz w:val="24"/>
          <w:szCs w:val="24"/>
          <w:lang w:bidi="en-US"/>
        </w:rPr>
        <w:t xml:space="preserve"> магистрант Федеральное государственное бюджетное     образовательное учреждение высшего образования «Кубанский государственный аграрный университет имени И.Т. Трубилина»</w:t>
      </w:r>
    </w:p>
    <w:p w14:paraId="6141316D" w14:textId="77777777" w:rsidR="001B6C3B" w:rsidRDefault="001B6C3B" w:rsidP="001B6C3B">
      <w:pPr>
        <w:autoSpaceDE w:val="0"/>
        <w:autoSpaceDN w:val="0"/>
        <w:adjustRightInd w:val="0"/>
        <w:spacing w:after="0" w:line="240" w:lineRule="auto"/>
        <w:ind w:left="5245"/>
        <w:jc w:val="both"/>
        <w:rPr>
          <w:rFonts w:ascii="Times New Roman" w:eastAsia="Calibri" w:hAnsi="Times New Roman" w:cs="Times New Roman"/>
          <w:sz w:val="24"/>
          <w:szCs w:val="24"/>
          <w:lang w:val="en-US"/>
        </w:rPr>
      </w:pPr>
      <w:r>
        <w:rPr>
          <w:rFonts w:ascii="Times New Roman" w:eastAsia="Calibri" w:hAnsi="Times New Roman" w:cs="Times New Roman"/>
          <w:sz w:val="24"/>
          <w:szCs w:val="24"/>
          <w:lang w:val="en-US"/>
        </w:rPr>
        <w:t>Federal State Budgetary Educational Institution of Higher Education</w:t>
      </w:r>
    </w:p>
    <w:p w14:paraId="1D11FF83" w14:textId="77777777" w:rsidR="001B6C3B" w:rsidRDefault="001B6C3B" w:rsidP="001B6C3B">
      <w:pPr>
        <w:autoSpaceDE w:val="0"/>
        <w:autoSpaceDN w:val="0"/>
        <w:adjustRightInd w:val="0"/>
        <w:spacing w:after="0" w:line="240" w:lineRule="auto"/>
        <w:ind w:left="5245"/>
        <w:jc w:val="both"/>
        <w:rPr>
          <w:rFonts w:ascii="Times New Roman" w:eastAsia="Calibri" w:hAnsi="Times New Roman" w:cs="Times New Roman"/>
          <w:sz w:val="24"/>
          <w:szCs w:val="24"/>
          <w:lang w:val="en-US"/>
        </w:rPr>
      </w:pPr>
      <w:r>
        <w:rPr>
          <w:rFonts w:ascii="Times New Roman" w:eastAsia="Calibri" w:hAnsi="Times New Roman" w:cs="Times New Roman"/>
          <w:sz w:val="24"/>
          <w:szCs w:val="24"/>
          <w:lang w:val="en-US"/>
        </w:rPr>
        <w:t>“Kuban State Agrarian University named after I.T. Trubilin”</w:t>
      </w:r>
    </w:p>
    <w:p w14:paraId="5684010E" w14:textId="77777777" w:rsidR="001B6C3B" w:rsidRDefault="001B6C3B" w:rsidP="001B6C3B">
      <w:pPr>
        <w:autoSpaceDE w:val="0"/>
        <w:autoSpaceDN w:val="0"/>
        <w:adjustRightInd w:val="0"/>
        <w:spacing w:after="0" w:line="240" w:lineRule="auto"/>
        <w:ind w:left="5245"/>
        <w:jc w:val="both"/>
        <w:rPr>
          <w:rFonts w:ascii="Times New Roman" w:eastAsia="Calibri" w:hAnsi="Times New Roman" w:cs="Times New Roman"/>
          <w:sz w:val="24"/>
          <w:szCs w:val="24"/>
        </w:rPr>
      </w:pPr>
      <w:r>
        <w:rPr>
          <w:rFonts w:ascii="Times New Roman" w:eastAsia="Calibri" w:hAnsi="Times New Roman" w:cs="Times New Roman"/>
          <w:sz w:val="24"/>
          <w:szCs w:val="24"/>
        </w:rPr>
        <w:t>Российская Федерация, г. Краснодар</w:t>
      </w:r>
    </w:p>
    <w:p w14:paraId="21296655" w14:textId="77777777" w:rsidR="001B6C3B" w:rsidRDefault="001B6C3B" w:rsidP="001B6C3B">
      <w:pPr>
        <w:autoSpaceDE w:val="0"/>
        <w:autoSpaceDN w:val="0"/>
        <w:adjustRightInd w:val="0"/>
        <w:spacing w:after="0" w:line="240" w:lineRule="auto"/>
        <w:ind w:left="5245"/>
        <w:jc w:val="both"/>
        <w:rPr>
          <w:rFonts w:ascii="Times New Roman" w:eastAsia="Calibri" w:hAnsi="Times New Roman" w:cs="Times New Roman"/>
          <w:sz w:val="24"/>
          <w:szCs w:val="24"/>
        </w:rPr>
      </w:pPr>
      <w:r>
        <w:rPr>
          <w:rFonts w:ascii="Times New Roman" w:eastAsia="Calibri" w:hAnsi="Times New Roman" w:cs="Times New Roman"/>
          <w:sz w:val="24"/>
          <w:szCs w:val="24"/>
          <w:lang w:val="en-US"/>
        </w:rPr>
        <w:t>Russian</w:t>
      </w:r>
      <w:r w:rsidRPr="00430C1C">
        <w:rPr>
          <w:rFonts w:ascii="Times New Roman" w:eastAsia="Calibri" w:hAnsi="Times New Roman" w:cs="Times New Roman"/>
          <w:sz w:val="24"/>
          <w:szCs w:val="24"/>
        </w:rPr>
        <w:t xml:space="preserve"> </w:t>
      </w:r>
      <w:r>
        <w:rPr>
          <w:rFonts w:ascii="Times New Roman" w:eastAsia="Calibri" w:hAnsi="Times New Roman" w:cs="Times New Roman"/>
          <w:sz w:val="24"/>
          <w:szCs w:val="24"/>
          <w:lang w:val="en-US"/>
        </w:rPr>
        <w:t>Federation</w:t>
      </w:r>
      <w:r>
        <w:rPr>
          <w:rFonts w:ascii="Times New Roman" w:eastAsia="Calibri" w:hAnsi="Times New Roman" w:cs="Times New Roman"/>
          <w:sz w:val="24"/>
          <w:szCs w:val="24"/>
        </w:rPr>
        <w:t xml:space="preserve">, </w:t>
      </w:r>
      <w:r>
        <w:rPr>
          <w:rFonts w:ascii="Times New Roman" w:eastAsia="Calibri" w:hAnsi="Times New Roman" w:cs="Times New Roman"/>
          <w:sz w:val="24"/>
          <w:szCs w:val="24"/>
          <w:lang w:val="en-US"/>
        </w:rPr>
        <w:t>Krasnodar</w:t>
      </w:r>
    </w:p>
    <w:p w14:paraId="4C47821A" w14:textId="77777777" w:rsidR="001B6C3B" w:rsidRDefault="001B6C3B" w:rsidP="001B6C3B">
      <w:pPr>
        <w:spacing w:after="0" w:line="240" w:lineRule="auto"/>
        <w:ind w:left="5245"/>
        <w:jc w:val="both"/>
        <w:rPr>
          <w:rFonts w:ascii="Times New Roman" w:eastAsiaTheme="minorEastAsia" w:hAnsi="Times New Roman" w:cs="Times New Roman"/>
          <w:sz w:val="24"/>
          <w:szCs w:val="24"/>
          <w:lang w:bidi="en-US"/>
        </w:rPr>
      </w:pPr>
      <w:r>
        <w:rPr>
          <w:rFonts w:ascii="Times New Roman" w:eastAsiaTheme="minorEastAsia" w:hAnsi="Times New Roman" w:cs="Times New Roman"/>
          <w:sz w:val="24"/>
          <w:szCs w:val="24"/>
          <w:lang w:val="en-US" w:bidi="en-US"/>
        </w:rPr>
        <w:t>macktvisp</w:t>
      </w:r>
      <w:r>
        <w:rPr>
          <w:rFonts w:ascii="Times New Roman" w:eastAsiaTheme="minorEastAsia" w:hAnsi="Times New Roman" w:cs="Times New Roman"/>
          <w:sz w:val="24"/>
          <w:szCs w:val="24"/>
          <w:lang w:bidi="en-US"/>
        </w:rPr>
        <w:t>@</w:t>
      </w:r>
      <w:r>
        <w:rPr>
          <w:rFonts w:ascii="Times New Roman" w:eastAsiaTheme="minorEastAsia" w:hAnsi="Times New Roman" w:cs="Times New Roman"/>
          <w:sz w:val="24"/>
          <w:szCs w:val="24"/>
          <w:lang w:val="en-US" w:bidi="en-US"/>
        </w:rPr>
        <w:t>mail</w:t>
      </w:r>
      <w:r>
        <w:rPr>
          <w:rFonts w:ascii="Times New Roman" w:eastAsiaTheme="minorEastAsia" w:hAnsi="Times New Roman" w:cs="Times New Roman"/>
          <w:sz w:val="24"/>
          <w:szCs w:val="24"/>
          <w:lang w:bidi="en-US"/>
        </w:rPr>
        <w:t>.</w:t>
      </w:r>
      <w:r>
        <w:rPr>
          <w:rFonts w:ascii="Times New Roman" w:eastAsiaTheme="minorEastAsia" w:hAnsi="Times New Roman" w:cs="Times New Roman"/>
          <w:sz w:val="24"/>
          <w:szCs w:val="24"/>
          <w:lang w:val="en-US" w:bidi="en-US"/>
        </w:rPr>
        <w:t>ru</w:t>
      </w:r>
    </w:p>
    <w:p w14:paraId="6E56F443" w14:textId="77777777" w:rsidR="001B6C3B" w:rsidRDefault="001B6C3B" w:rsidP="001B6C3B">
      <w:pPr>
        <w:spacing w:after="0" w:line="240" w:lineRule="auto"/>
        <w:ind w:left="5245"/>
        <w:jc w:val="both"/>
        <w:rPr>
          <w:rFonts w:ascii="Times New Roman" w:eastAsiaTheme="minorEastAsia" w:hAnsi="Times New Roman" w:cs="Times New Roman"/>
          <w:sz w:val="24"/>
          <w:szCs w:val="24"/>
          <w:lang w:bidi="en-US"/>
        </w:rPr>
      </w:pPr>
      <w:r>
        <w:rPr>
          <w:rFonts w:ascii="Times New Roman" w:eastAsiaTheme="minorEastAsia" w:hAnsi="Times New Roman" w:cs="Times New Roman"/>
          <w:sz w:val="24"/>
          <w:szCs w:val="24"/>
          <w:lang w:bidi="en-US"/>
        </w:rPr>
        <w:t xml:space="preserve">Научный руководитель Камышанский В.П., доктор        </w:t>
      </w:r>
    </w:p>
    <w:p w14:paraId="18E59FDC" w14:textId="77777777" w:rsidR="001B6C3B" w:rsidRDefault="001B6C3B" w:rsidP="001B6C3B">
      <w:pPr>
        <w:tabs>
          <w:tab w:val="left" w:pos="3000"/>
        </w:tabs>
        <w:autoSpaceDE w:val="0"/>
        <w:autoSpaceDN w:val="0"/>
        <w:adjustRightInd w:val="0"/>
        <w:spacing w:after="0" w:line="240" w:lineRule="auto"/>
        <w:ind w:left="5245"/>
        <w:jc w:val="both"/>
        <w:rPr>
          <w:rFonts w:ascii="Times New Roman" w:eastAsia="Times New Roman" w:hAnsi="Times New Roman" w:cs="Times New Roman"/>
          <w:iCs/>
          <w:caps/>
          <w:sz w:val="24"/>
          <w:szCs w:val="24"/>
          <w:lang w:eastAsia="ru-RU"/>
        </w:rPr>
      </w:pPr>
      <w:r>
        <w:rPr>
          <w:rFonts w:ascii="Times New Roman" w:eastAsia="Times New Roman" w:hAnsi="Times New Roman" w:cs="Times New Roman"/>
          <w:iCs/>
          <w:sz w:val="24"/>
          <w:szCs w:val="24"/>
          <w:lang w:eastAsia="ru-RU"/>
        </w:rPr>
        <w:t>юридических наук, профессор</w:t>
      </w:r>
    </w:p>
    <w:p w14:paraId="3C327597" w14:textId="77777777" w:rsidR="001B6C3B" w:rsidRDefault="001B6C3B" w:rsidP="001B6C3B">
      <w:pPr>
        <w:tabs>
          <w:tab w:val="left" w:pos="7380"/>
        </w:tabs>
        <w:spacing w:after="0" w:line="240" w:lineRule="auto"/>
        <w:ind w:firstLine="709"/>
        <w:jc w:val="center"/>
        <w:rPr>
          <w:rFonts w:ascii="Times New Roman" w:hAnsi="Times New Roman" w:cs="Times New Roman"/>
          <w:b/>
          <w:sz w:val="24"/>
          <w:szCs w:val="24"/>
        </w:rPr>
      </w:pPr>
    </w:p>
    <w:p w14:paraId="76D6044F" w14:textId="77777777" w:rsidR="001B6C3B" w:rsidRDefault="001B6C3B" w:rsidP="001B6C3B">
      <w:pPr>
        <w:tabs>
          <w:tab w:val="left" w:pos="7380"/>
        </w:tabs>
        <w:spacing w:after="0" w:line="240" w:lineRule="auto"/>
        <w:ind w:firstLine="709"/>
        <w:jc w:val="center"/>
        <w:rPr>
          <w:rFonts w:ascii="Times New Roman" w:hAnsi="Times New Roman" w:cs="Times New Roman"/>
          <w:b/>
          <w:sz w:val="24"/>
          <w:szCs w:val="24"/>
        </w:rPr>
      </w:pPr>
      <w:r>
        <w:rPr>
          <w:rFonts w:ascii="Times New Roman" w:hAnsi="Times New Roman" w:cs="Times New Roman"/>
          <w:b/>
          <w:sz w:val="24"/>
          <w:szCs w:val="24"/>
        </w:rPr>
        <w:t>ОСОБЕННОСТИ НАСЛЕДОВАНИЯ ГОСУДАРСТВЕННЫХ НАГРАД, ПОЧЁТНЫХ И ПАМЯТНЫХ ЗНАКОВ.</w:t>
      </w:r>
    </w:p>
    <w:p w14:paraId="0B703E78" w14:textId="77777777" w:rsidR="001B6C3B" w:rsidRDefault="001B6C3B" w:rsidP="001B6C3B">
      <w:pPr>
        <w:tabs>
          <w:tab w:val="left" w:pos="7380"/>
        </w:tabs>
        <w:spacing w:after="0" w:line="240" w:lineRule="auto"/>
        <w:ind w:firstLine="709"/>
        <w:jc w:val="center"/>
        <w:rPr>
          <w:rFonts w:ascii="Times New Roman" w:hAnsi="Times New Roman" w:cs="Times New Roman"/>
          <w:b/>
          <w:sz w:val="24"/>
          <w:szCs w:val="24"/>
        </w:rPr>
      </w:pPr>
    </w:p>
    <w:p w14:paraId="6C192721" w14:textId="77777777" w:rsidR="001B6C3B" w:rsidRDefault="001B6C3B" w:rsidP="001B6C3B">
      <w:pPr>
        <w:tabs>
          <w:tab w:val="left" w:pos="7380"/>
        </w:tabs>
        <w:spacing w:after="0" w:line="240" w:lineRule="auto"/>
        <w:ind w:firstLine="709"/>
        <w:jc w:val="center"/>
        <w:rPr>
          <w:rFonts w:ascii="Times New Roman" w:hAnsi="Times New Roman" w:cs="Times New Roman"/>
          <w:b/>
          <w:sz w:val="24"/>
          <w:szCs w:val="24"/>
          <w:lang w:val="en-US"/>
        </w:rPr>
      </w:pPr>
      <w:r>
        <w:rPr>
          <w:rFonts w:ascii="Times New Roman" w:hAnsi="Times New Roman" w:cs="Times New Roman"/>
          <w:b/>
          <w:sz w:val="24"/>
          <w:szCs w:val="24"/>
          <w:lang w:val="en-US"/>
        </w:rPr>
        <w:t>FEATURES OF INHERITANCE OF STATE AWARDS, HONORARY AND COMMEMORATIVE PLATES.</w:t>
      </w:r>
    </w:p>
    <w:p w14:paraId="1BFF1D45" w14:textId="77777777" w:rsidR="001B6C3B" w:rsidRDefault="001B6C3B" w:rsidP="001B6C3B">
      <w:pPr>
        <w:tabs>
          <w:tab w:val="left" w:pos="7380"/>
        </w:tabs>
        <w:spacing w:after="0" w:line="240" w:lineRule="auto"/>
        <w:ind w:firstLine="709"/>
        <w:jc w:val="both"/>
        <w:rPr>
          <w:rFonts w:ascii="Times New Roman" w:hAnsi="Times New Roman" w:cs="Times New Roman"/>
          <w:i/>
          <w:sz w:val="24"/>
          <w:szCs w:val="24"/>
          <w:lang w:val="en-US"/>
        </w:rPr>
      </w:pPr>
    </w:p>
    <w:p w14:paraId="25129258"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rPr>
      </w:pPr>
      <w:r>
        <w:rPr>
          <w:rFonts w:ascii="Times New Roman" w:hAnsi="Times New Roman" w:cs="Times New Roman"/>
          <w:i/>
          <w:sz w:val="24"/>
          <w:szCs w:val="24"/>
        </w:rPr>
        <w:t xml:space="preserve">Аннотация: </w:t>
      </w:r>
      <w:r>
        <w:rPr>
          <w:rFonts w:ascii="Times New Roman" w:hAnsi="Times New Roman" w:cs="Times New Roman"/>
          <w:sz w:val="24"/>
          <w:szCs w:val="24"/>
        </w:rPr>
        <w:t>В данной статье автор исследует особенности наследования такого вида имущества, как государственные награды, почётные и памятные знаки. Анализируется состояние современного законодательства в данной области, его пробелы и недостатки. Предлагается вариант гражданско - правового определения государственной награды.  Статья представляет практический интерес и может быть использована в учебном процессе в высших учебных заведениях с юридическим профилем.</w:t>
      </w:r>
    </w:p>
    <w:p w14:paraId="54850F3C"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rPr>
      </w:pPr>
      <w:r>
        <w:rPr>
          <w:rFonts w:ascii="Times New Roman" w:hAnsi="Times New Roman" w:cs="Times New Roman"/>
          <w:i/>
          <w:sz w:val="24"/>
          <w:szCs w:val="24"/>
        </w:rPr>
        <w:t xml:space="preserve">Ключевые слова: </w:t>
      </w:r>
      <w:r>
        <w:rPr>
          <w:rFonts w:ascii="Times New Roman" w:hAnsi="Times New Roman" w:cs="Times New Roman"/>
          <w:sz w:val="24"/>
          <w:szCs w:val="24"/>
        </w:rPr>
        <w:t>наследование; государственная награда; почётный знак; памятный знак; хранение; наследники; гражданское право; законодательство; заслуги; вещь.</w:t>
      </w:r>
    </w:p>
    <w:p w14:paraId="0FA665C3"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lang w:val="en-US"/>
        </w:rPr>
      </w:pPr>
      <w:r>
        <w:rPr>
          <w:rStyle w:val="FontStyle19"/>
          <w:sz w:val="24"/>
          <w:szCs w:val="24"/>
          <w:lang w:val="en-US"/>
        </w:rPr>
        <w:t>Аnnotation:</w:t>
      </w:r>
      <w:r>
        <w:rPr>
          <w:rFonts w:ascii="Times New Roman" w:hAnsi="Times New Roman" w:cs="Times New Roman"/>
          <w:sz w:val="24"/>
          <w:szCs w:val="24"/>
          <w:lang w:val="en-US"/>
        </w:rPr>
        <w:t xml:space="preserve"> In this article, the author explores the features of inheritance of such a type of property as state awards, honorary and commemorative plates. The state of modern legislation in this area, its gaps and shortcomings are analyzed. A civil law definition of a state award is proposed. The article is of practical interest and can be used in the educational process in higher educational institutions with a legal profile.</w:t>
      </w:r>
    </w:p>
    <w:p w14:paraId="7D9AB211"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lang w:val="en-US"/>
        </w:rPr>
      </w:pPr>
      <w:r>
        <w:rPr>
          <w:rFonts w:ascii="Times New Roman" w:hAnsi="Times New Roman" w:cs="Times New Roman"/>
          <w:i/>
          <w:iCs/>
          <w:sz w:val="24"/>
          <w:szCs w:val="24"/>
          <w:lang w:val="en-US" w:bidi="en-US"/>
        </w:rPr>
        <w:t>Keywords:</w:t>
      </w:r>
      <w:r>
        <w:rPr>
          <w:rFonts w:ascii="Times New Roman" w:hAnsi="Times New Roman" w:cs="Times New Roman"/>
          <w:sz w:val="24"/>
          <w:szCs w:val="24"/>
          <w:lang w:val="en-US"/>
        </w:rPr>
        <w:t xml:space="preserve"> </w:t>
      </w:r>
      <w:r>
        <w:rPr>
          <w:rFonts w:ascii="Times New Roman" w:hAnsi="Times New Roman" w:cs="Times New Roman"/>
          <w:iCs/>
          <w:sz w:val="24"/>
          <w:szCs w:val="24"/>
          <w:lang w:val="en-US" w:bidi="en-US"/>
        </w:rPr>
        <w:t>inheritance; state award; honorary badge; commemorative badge; possession; heirs; civil law; legislation; merit; thing.</w:t>
      </w:r>
    </w:p>
    <w:p w14:paraId="32AE3A47"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lang w:val="en-US"/>
        </w:rPr>
      </w:pPr>
    </w:p>
    <w:p w14:paraId="60FE7242"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Гражданский кодекс РФ в главе 65 регулирует наследование отдельных видов имущества. Среди них можно выделить государственные награды, почётные и памятные знаки. Они являются ограниченно оборотоспособными вещами. Ограниченно оборотоспособные вещи - те, которые могут принадлежать лишь определённым участникам оборота либо совершение сделок с ними допускается по специальному разрешению. Государственная награда РФ - высшая форма поощрения граждан за выдающиеся заслуги в защите Отечества, государственном строительстве, экономике, науке, культуре, искусстве, воспитании, просвещении, охране здоровья, жизни и прав граждан, благотворительной деятельности и иные выдающиеся заслуги перед государством. Следует отметить, что большой проблемой является отсутствие в Гражданском кодексе легального определения </w:t>
      </w:r>
      <w:r>
        <w:rPr>
          <w:rFonts w:ascii="Times New Roman" w:hAnsi="Times New Roman" w:cs="Times New Roman"/>
          <w:sz w:val="24"/>
          <w:szCs w:val="24"/>
        </w:rPr>
        <w:lastRenderedPageBreak/>
        <w:t>государственных наград, почётных и памятных знаков   как объектов гражданских прав, хотя по факту они присутствуют в гражданском обороте.</w:t>
      </w:r>
    </w:p>
    <w:p w14:paraId="1C723E39"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Законодательство о наградах различается по степени системности. Оно включает в   себя   нормативно-правовые акты общего и специального характера. Эти различия наградного законодательства РФ свидетельствуют об отсутствии единообразного подхода к правовому регулированию в данной сфере. Общее регулирование осуществляется Гражданским кодексом Российской Федерации. Одной из сложностей является правомерность отсылок положений ст. 1185 Гражданского кодекса</w:t>
      </w:r>
      <w:r>
        <w:rPr>
          <w:rStyle w:val="a7"/>
          <w:rFonts w:ascii="Times New Roman" w:hAnsi="Times New Roman" w:cs="Times New Roman"/>
          <w:sz w:val="24"/>
          <w:szCs w:val="24"/>
        </w:rPr>
        <w:footnoteReference w:id="88"/>
      </w:r>
      <w:r>
        <w:rPr>
          <w:rFonts w:ascii="Times New Roman" w:hAnsi="Times New Roman" w:cs="Times New Roman"/>
          <w:sz w:val="24"/>
          <w:szCs w:val="24"/>
        </w:rPr>
        <w:t xml:space="preserve"> к законодательству о государственных наградах Российской Федерации при разделении наград на две группы, в зависимости от того, распространяется ли на них законодательство о наградах РФ или нет</w:t>
      </w:r>
      <w:r>
        <w:rPr>
          <w:rStyle w:val="a7"/>
          <w:rFonts w:ascii="Times New Roman" w:hAnsi="Times New Roman" w:cs="Times New Roman"/>
          <w:sz w:val="24"/>
          <w:szCs w:val="24"/>
        </w:rPr>
        <w:footnoteReference w:id="89"/>
      </w:r>
      <w:r>
        <w:rPr>
          <w:rFonts w:ascii="Times New Roman" w:hAnsi="Times New Roman" w:cs="Times New Roman"/>
          <w:sz w:val="24"/>
          <w:szCs w:val="24"/>
        </w:rPr>
        <w:t xml:space="preserve">. По мнению многих юристов основным документом выступает Положение о государственных наградах Российской Федерации. </w:t>
      </w:r>
    </w:p>
    <w:p w14:paraId="65C9C7ED"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Положение закрепляет, что в случае смерти награжденных лиц государственные награды и документы к ним хранятся у членов семьи и иных близких родственников. При отсутствии членов семьи и иных близких родственников государственные награды и документы к ним подлежат возврату в Администрацию Президента Российской Федерации.</w:t>
      </w:r>
      <w:r>
        <w:rPr>
          <w:rFonts w:ascii="Times New Roman" w:hAnsi="Times New Roman" w:cs="Times New Roman"/>
          <w:sz w:val="24"/>
          <w:szCs w:val="24"/>
          <w:shd w:val="clear" w:color="auto" w:fill="FFFFFF"/>
        </w:rPr>
        <w:t xml:space="preserve"> </w:t>
      </w:r>
      <w:r>
        <w:rPr>
          <w:rFonts w:ascii="Times New Roman" w:hAnsi="Times New Roman" w:cs="Times New Roman"/>
          <w:sz w:val="24"/>
          <w:szCs w:val="24"/>
        </w:rPr>
        <w:t>По решению Комиссии государственные награды и документы к ним умершего награжденного лица или лица, награжденного посмертно, могут быть переданы государственным или муниципальным музеям на постоянное хранение и для экспонирования с согласия лица, которому были переданы (вручены) для хранения государственные награды и документы к ним, и при наличии ходатайства музея, поддержанного органом исполнительной власти субъекта Российской Федерации, в ведении которого находятся вопросы сохранения культурного наследия, или по ходатайству федерального органа исполнительной власти, в ведении которого находится музей. В случае утраты орденов Российской Федерации, знаков отличия Российской Федерации, медалей Российской Федерации и нагрудных знаков к почетным званиям Российской Федерации в боевой обстановке, в результате стихийного бедствия либо при других чрезвычайных ситуациях по решению Комиссии награжденным лицам могут быть выданы дубликаты государственных наград либо их муляжи.</w:t>
      </w:r>
    </w:p>
    <w:p w14:paraId="0907CA49"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Получается, что во- первых данные награды исключены из наследственной массы. Во - вторых, законодателем определён особый наследственно - правовой режим для наград, путём применения бланкетного способа, который предполагает, что для уяснения содержания гипотезы или диспозиции и санкции необходимо обращение не к конкретной статье данного нормативного правового акта, а предусматривается отсылка в самом общем виде к другому нормативному правовому акту в целом или к его части, или к нескольким нормативным актам.</w:t>
      </w:r>
    </w:p>
    <w:p w14:paraId="0AE7F750"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Законодательством Российской Федерации установлены следующие виды государственных наград</w:t>
      </w:r>
      <w:r>
        <w:rPr>
          <w:rStyle w:val="a7"/>
          <w:rFonts w:ascii="Times New Roman" w:hAnsi="Times New Roman" w:cs="Times New Roman"/>
          <w:sz w:val="24"/>
          <w:szCs w:val="24"/>
        </w:rPr>
        <w:footnoteReference w:id="90"/>
      </w:r>
      <w:r>
        <w:rPr>
          <w:rFonts w:ascii="Times New Roman" w:hAnsi="Times New Roman" w:cs="Times New Roman"/>
          <w:sz w:val="24"/>
          <w:szCs w:val="24"/>
        </w:rPr>
        <w:t>:</w:t>
      </w:r>
    </w:p>
    <w:p w14:paraId="000772A9"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1) высшие звания Российской Федерации (Герой Российской Федерации, Герой Труда Российской Федерации);</w:t>
      </w:r>
    </w:p>
    <w:p w14:paraId="38C67285"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 ордена Российской Федерации (Святого Георгия, Святого апостола Андрея Первозванного, «За заслуги перед Отечеством», Александра Невского и т.д.)</w:t>
      </w:r>
    </w:p>
    <w:p w14:paraId="302429D7"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 знаки отличия Российской Федерации</w:t>
      </w:r>
    </w:p>
    <w:p w14:paraId="7665F631"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4) медали Российской Федерации;</w:t>
      </w:r>
    </w:p>
    <w:p w14:paraId="40A2B4E1"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5) почётные звания Российской Федерации.</w:t>
      </w:r>
    </w:p>
    <w:p w14:paraId="3D01F7FA"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Перечень наград, которые не входят в наследственную массу:</w:t>
      </w:r>
    </w:p>
    <w:p w14:paraId="0F92FC4D"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1) знак отличия «За безупречную службу»;</w:t>
      </w:r>
    </w:p>
    <w:p w14:paraId="14E5DE95"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2) медаль Ушакова;</w:t>
      </w:r>
    </w:p>
    <w:p w14:paraId="5198ADFB"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 медаль Нестерова;</w:t>
      </w:r>
    </w:p>
    <w:p w14:paraId="69574455"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4) медаль Суворова;</w:t>
      </w:r>
    </w:p>
    <w:p w14:paraId="53E55C07"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5) медаль «За отличие в охране общественного порядка»;</w:t>
      </w:r>
    </w:p>
    <w:p w14:paraId="210848A5"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6) медаль «За спасение погибавших»;</w:t>
      </w:r>
    </w:p>
    <w:p w14:paraId="55D79C16"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7) медаль «За отличие в защите государственных границ»;</w:t>
      </w:r>
    </w:p>
    <w:p w14:paraId="4B8BD008"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8) медаль «За отвагу»;</w:t>
      </w:r>
    </w:p>
    <w:p w14:paraId="4DB8AD27"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9) медаль ордена «За заслуги перед Отечеством»;</w:t>
      </w:r>
    </w:p>
    <w:p w14:paraId="40D7A0BD"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10)орден «За заслуги перед отечеством»;</w:t>
      </w:r>
    </w:p>
    <w:p w14:paraId="2B3E37E5"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11) орден Почета;</w:t>
      </w:r>
    </w:p>
    <w:p w14:paraId="0CF31FBD"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12)орден «За военные заслуги»;</w:t>
      </w:r>
    </w:p>
    <w:p w14:paraId="66155D71"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13)орден Дружбы;</w:t>
      </w:r>
    </w:p>
    <w:p w14:paraId="5CAE9257"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14)орден Мужества.</w:t>
      </w:r>
    </w:p>
    <w:p w14:paraId="3030E8BA"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rPr>
      </w:pPr>
    </w:p>
    <w:p w14:paraId="5F5CE83B"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К государственным наградам РФ, помимо собственно наград Российской Федерации относятся и награды СССР. В число наград может входить и наградное оружие - гражданское, боевое короткоствольное ручное стрелковое и холодное оружие, полученное гражданами Российской Федерации на основании Указа Президента РФ, постановления Правительства РФ, наградных документов глав иностранных государств и глав правительств иностранных государств, а также на основании приказов руководителей государственных военизированных организаций. Виды, типы, модели боевого короткоствольного ручного стрелкового и холодного оружия, которыми могут награждаться граждане Российской Федерации, а также порядок награждений указанным оружием устанавливаются Правительством РФ. Особенности наследования гражданского оружия регулируются ст. 1180 ГК и ст. ст. 20, 20.1 Закона об оружии. Нормы ст.1185 Гражданского кодекса не распространяется на награды царской России и иностранных государств. Поскольку награды, как правило, не представляют материальной ценности, но являются символом достижений гражданина, законодательством установлено, что они подлежат передаче наследникам (членам семьи или близким родственникам) как память. Законность владения государственной наградой подтверждается соответствующими документами к ней, которые подлежат передаче вместе с ней.</w:t>
      </w:r>
    </w:p>
    <w:p w14:paraId="0A461646"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Необходимо различать сам знак награды и связанные с наградой права. Права, связанные с наградой тесно связаны с личностью наследодателя и поэтому прекращаются с его смертью. Знак награды (орден как вещь) остаётся во владении наследников и потому очень важно определить кто и на каком основании хранит эту вещь. Признание за наследниками обычного права собственности на награды невозможно, так как это противоречило бы публичным интересам, поскольку повлекло бы свободное распоряжение наградами и как следствие, ношение их лицами, не имеющими никаких заслуг. Термин «хранение», который используется в Положении о государственных наградах РФ используется для того, чтобы подчеркнуть, что родственники умершего, владеющие его наградами не вправе ими пользоваться или распоряжаться. Однако, он не однозначен. </w:t>
      </w:r>
    </w:p>
    <w:p w14:paraId="3DD1320E"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соответствии с Гражданским кодексом, по договору хранения одна сторона (хранитель) обязуется хранить вещь, которую её передала другая сторона (поклажедатель) и возвратить эту вещь в сохранности. Обязанностью хранителя является хранение вещи в течении обусловленного договором срока либо до её востребования поклажедателем и обеспечение сохранности вещи. Договор хранения может быть возмездным. Хранитель имеет право на возмещение расходов на хранение. Хранитель не вправе без согласия поклажедателя пользоваться переданной на хранение вещью. Он обязан возвратить ту самую вещь, которая была передана на хранение, и отвечает за ее утрату, недостачу или повреждение вещей. Хранение государственных наград же не имеет ничего общего с приведёнными правилами договора хранения.</w:t>
      </w:r>
    </w:p>
    <w:p w14:paraId="1D7A0686"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Необходимо также различать собственно награду как юридический факт, отражающий заслуги человека и его статус и знак этой награды в виде соответствующего предмета </w:t>
      </w:r>
      <w:r>
        <w:rPr>
          <w:rFonts w:ascii="Times New Roman" w:hAnsi="Times New Roman" w:cs="Times New Roman"/>
          <w:sz w:val="24"/>
          <w:szCs w:val="24"/>
        </w:rPr>
        <w:lastRenderedPageBreak/>
        <w:t>материального мира</w:t>
      </w:r>
      <w:r>
        <w:rPr>
          <w:rStyle w:val="a7"/>
          <w:rFonts w:ascii="Times New Roman" w:hAnsi="Times New Roman" w:cs="Times New Roman"/>
          <w:sz w:val="24"/>
          <w:szCs w:val="24"/>
        </w:rPr>
        <w:footnoteReference w:id="91"/>
      </w:r>
      <w:r>
        <w:rPr>
          <w:rFonts w:ascii="Times New Roman" w:hAnsi="Times New Roman" w:cs="Times New Roman"/>
          <w:sz w:val="24"/>
          <w:szCs w:val="24"/>
        </w:rPr>
        <w:t>. Знак награды может быть утрачен или повреждён и т.п., но статус награждённого остаётся. Награждённый имеет пожизненное право владения и пользования наградой (имуществом) в соответствии с её назначением. Строго определено в каких случаях он имеет право распорядиться этим имуществом. Но предусмотрены и определённые ситуации, когда ограничения могут сниматься. Граждане Российской Федерации, иностранные граждане и лица без гражданства, награжденные государственными наградами, выезжающие из Российской Федерации, имеют право вывозить эти государственные награды при наличии удостоверений к ним.</w:t>
      </w:r>
      <w:bookmarkStart w:id="14" w:name="dst102226"/>
      <w:bookmarkEnd w:id="14"/>
      <w:r>
        <w:rPr>
          <w:rFonts w:ascii="Times New Roman" w:hAnsi="Times New Roman" w:cs="Times New Roman"/>
          <w:sz w:val="24"/>
          <w:szCs w:val="24"/>
        </w:rPr>
        <w:t xml:space="preserve"> Лицо, которому были переданы (вручены) для хранения государственные награды и документы к ним и которое выезжает из Российской Федерации на постоянное жительство, имеет право вывозить государственные награды по предъявлении документов, подтверждающих его право на указанные награды. В случае вывоза государственных наград за пределы Российской Федерации в связи с переездом на постоянное место жительства самого награждённого или его наследников, эти награды превращаются в обычное движимое имущество и их правовой режим определяется гражданским законодательством соответствующей страны.</w:t>
      </w:r>
    </w:p>
    <w:p w14:paraId="6D59086F"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Большим пробелом учёные считают отсутствие перечня наград, на которые распространяется законодательство РФ о государственных наградах, что существенно затрудняет регулирование данной сферы. Кроме того, целый ряд формулировок, содержащихся в нём не соответствуют юридической технике. В связи с отсутствием гражданско- правового определения государственной награды, необходимо его разработать. Можно предложить следующий вариант определения: «государственная награда - это объект материального мира, имеющий форму в виде ордена, медали, знака отличия, нагрудного знака, носящий строго персонифицированный характер, имеющий индивидуальный номер и государственную регистрацию, закреплённые в официальных документах, удостоверяющих награждение гражданина, способный удовлетворять его моральные и материальные потребности, а также выступать объектом гражданского оборота». В таком случае государственные награды смогут отвечать признакам вещи, поскольку они:</w:t>
      </w:r>
    </w:p>
    <w:p w14:paraId="0BA58EA7"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1) Без сомнений, являются материальными объектами, имеют чётко определённую вещественную символическую форму, которая выражается в ордене, медали, знаке отличия, нагрудном знаке.</w:t>
      </w:r>
    </w:p>
    <w:p w14:paraId="695E47C0"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 Носят строго персонифицированный характер, то есть ими награждаются конкретные граждане и, более того, за конкретную выдающуюся заслугу(ги) пред государством. Вместе с наградой награждённому вручаются документы, удостоверяющие факт награждения.</w:t>
      </w:r>
    </w:p>
    <w:p w14:paraId="60F37B99"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 Способны непосредственно удовлетворять материальные потребности гражданина, путём предоставления награждённому прав, льгот и преимуществ имущественного (в т. ч. денежного характера).</w:t>
      </w:r>
    </w:p>
    <w:p w14:paraId="77D9772B"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4) Могут быть вещами. либо ограниченными в гражданском обороте, либо изъятыми из него.</w:t>
      </w:r>
    </w:p>
    <w:p w14:paraId="6CBD9D9C"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5) Являются движимыми вещами, так как по закону движимыми вещами признаются любые вещи, не отнесённые к недвижимости.</w:t>
      </w:r>
    </w:p>
    <w:p w14:paraId="41546694"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6) Являются индивидуально - определёнными вещами, так как имеют конкретные, присущие только им характеристики и отличительные признаки.</w:t>
      </w:r>
    </w:p>
    <w:p w14:paraId="5DF00DD0" w14:textId="77777777" w:rsidR="001B6C3B" w:rsidRDefault="001B6C3B" w:rsidP="001B6C3B">
      <w:pPr>
        <w:tabs>
          <w:tab w:val="left" w:pos="738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7) Являются непотребляемыми вещами, поскольку при использовании изнашиваются постепенно, частично, в течение определённого длительного времени.</w:t>
      </w:r>
    </w:p>
    <w:p w14:paraId="5D4EBA6E" w14:textId="77777777" w:rsidR="001B6C3B" w:rsidRDefault="001B6C3B" w:rsidP="001B6C3B">
      <w:pPr>
        <w:tabs>
          <w:tab w:val="left" w:pos="1275"/>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ab/>
        <w:t xml:space="preserve">Согласно Положению о государственных наградах, незаконное приобретение или сбыт, подделка, незаконное ношение государственных наград Российской Федерации и государственных наград СССР, учреждение или изготовление знаков, имеющих схожее название или внешнее сходство, влекут ответственность в соответствии </w:t>
      </w:r>
      <w:r>
        <w:rPr>
          <w:rFonts w:ascii="Times New Roman" w:hAnsi="Times New Roman" w:cs="Times New Roman"/>
          <w:sz w:val="24"/>
          <w:szCs w:val="24"/>
        </w:rPr>
        <w:lastRenderedPageBreak/>
        <w:t>с законодательством Российской Федерации. За незаконное ношение наград, учреждение или изготовление знаков, имеющих схожее название или внешнее сходство с государственными наградами, установлена административная ответственность (ст. 17.11 КоАП РФ) в виде предупреждения или наложения штрафа с конфискацией. За приобретение или сбыт государственных наград установлена уголовная ответственность (УК РФ, ст. 324) в виде штрафа, исправительных работ либо ареста.</w:t>
      </w:r>
    </w:p>
    <w:p w14:paraId="3052EDF2" w14:textId="77777777" w:rsidR="001B6C3B" w:rsidRDefault="001B6C3B" w:rsidP="001B6C3B">
      <w:pPr>
        <w:tabs>
          <w:tab w:val="left" w:pos="1275"/>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Таким образом, институт наследования государственных наград, почётных и памятных знаков имеет является особенным по сравнению с остальными и имеет определенные нюансы регулирования. Кроме того, он достаточно молодой и потому имеет ряд существенных пробелов, которые требуют совершенствование законодательства. Эта проблема могла бы решится путём принятия отдельного федерального закона «О государственных наградах, почётных и памятных знаках Российской Федерации» и внесения соответствующих дополнений и изменений в Гражданский кодекс РФ.</w:t>
      </w:r>
    </w:p>
    <w:p w14:paraId="787F2A89" w14:textId="77777777" w:rsidR="001B6C3B" w:rsidRDefault="001B6C3B" w:rsidP="001B6C3B">
      <w:pPr>
        <w:spacing w:after="0" w:line="240" w:lineRule="auto"/>
        <w:ind w:firstLine="709"/>
        <w:jc w:val="both"/>
        <w:rPr>
          <w:rFonts w:ascii="Times New Roman" w:hAnsi="Times New Roman" w:cs="Times New Roman"/>
          <w:sz w:val="24"/>
          <w:szCs w:val="24"/>
        </w:rPr>
      </w:pPr>
    </w:p>
    <w:p w14:paraId="418FD0DE" w14:textId="77777777" w:rsidR="001B6C3B" w:rsidRDefault="001B6C3B" w:rsidP="001B6C3B">
      <w:pPr>
        <w:spacing w:after="0" w:line="240" w:lineRule="auto"/>
        <w:ind w:firstLine="709"/>
        <w:jc w:val="center"/>
        <w:rPr>
          <w:rFonts w:ascii="Times New Roman" w:eastAsia="Calibri" w:hAnsi="Times New Roman" w:cs="Times New Roman"/>
          <w:b/>
          <w:sz w:val="24"/>
          <w:szCs w:val="24"/>
          <w:lang w:bidi="en-US"/>
        </w:rPr>
      </w:pPr>
      <w:r>
        <w:rPr>
          <w:rFonts w:ascii="Times New Roman" w:eastAsia="Calibri" w:hAnsi="Times New Roman" w:cs="Times New Roman"/>
          <w:b/>
          <w:sz w:val="24"/>
          <w:szCs w:val="24"/>
          <w:lang w:bidi="en-US"/>
        </w:rPr>
        <w:t>Библиографический список</w:t>
      </w:r>
    </w:p>
    <w:p w14:paraId="454C9B4E" w14:textId="77777777" w:rsidR="001B6C3B" w:rsidRDefault="001B6C3B" w:rsidP="001B6C3B">
      <w:pPr>
        <w:spacing w:after="0" w:line="240" w:lineRule="auto"/>
        <w:ind w:firstLine="709"/>
        <w:jc w:val="both"/>
        <w:rPr>
          <w:rFonts w:ascii="Times New Roman" w:eastAsia="Calibri" w:hAnsi="Times New Roman" w:cs="Times New Roman"/>
          <w:b/>
          <w:sz w:val="24"/>
          <w:szCs w:val="24"/>
          <w:lang w:bidi="en-US"/>
        </w:rPr>
      </w:pPr>
    </w:p>
    <w:p w14:paraId="26EEE431" w14:textId="77777777" w:rsidR="001B6C3B" w:rsidRDefault="001B6C3B" w:rsidP="001B6C3B">
      <w:pPr>
        <w:spacing w:after="0" w:line="240" w:lineRule="auto"/>
        <w:ind w:firstLine="709"/>
        <w:jc w:val="both"/>
        <w:rPr>
          <w:rFonts w:ascii="Times New Roman" w:eastAsia="Calibri" w:hAnsi="Times New Roman" w:cs="Times New Roman"/>
          <w:b/>
          <w:sz w:val="24"/>
          <w:szCs w:val="24"/>
          <w:lang w:bidi="en-US"/>
        </w:rPr>
      </w:pPr>
    </w:p>
    <w:p w14:paraId="35B4F202" w14:textId="77777777" w:rsidR="001B6C3B" w:rsidRDefault="001B6C3B" w:rsidP="001B6C3B">
      <w:pPr>
        <w:tabs>
          <w:tab w:val="left" w:pos="2715"/>
        </w:tabs>
        <w:spacing w:after="0" w:line="240" w:lineRule="auto"/>
        <w:ind w:firstLine="709"/>
        <w:jc w:val="both"/>
        <w:rPr>
          <w:rFonts w:ascii="Times New Roman" w:hAnsi="Times New Roman" w:cs="Times New Roman"/>
          <w:sz w:val="24"/>
          <w:szCs w:val="24"/>
        </w:rPr>
      </w:pPr>
      <w:r>
        <w:rPr>
          <w:rFonts w:ascii="Times New Roman" w:hAnsi="Times New Roman" w:cs="Times New Roman"/>
          <w:i/>
          <w:sz w:val="24"/>
          <w:szCs w:val="24"/>
        </w:rPr>
        <w:t xml:space="preserve">1. Тимошин Ю.В. </w:t>
      </w:r>
      <w:r>
        <w:rPr>
          <w:rFonts w:ascii="Times New Roman" w:hAnsi="Times New Roman" w:cs="Times New Roman"/>
          <w:sz w:val="24"/>
          <w:szCs w:val="24"/>
        </w:rPr>
        <w:t>Проблемы правового регулирования наследования государственных наград, почётных и памятных знаков // Вестник Московского университета МВД России. - 2009. - № 7. - С. 205.</w:t>
      </w:r>
    </w:p>
    <w:p w14:paraId="79B51821" w14:textId="77777777" w:rsidR="001B6C3B" w:rsidRDefault="001B6C3B" w:rsidP="001B6C3B">
      <w:pPr>
        <w:tabs>
          <w:tab w:val="left" w:pos="2715"/>
        </w:tabs>
        <w:spacing w:after="0" w:line="240" w:lineRule="auto"/>
        <w:ind w:firstLine="709"/>
        <w:jc w:val="both"/>
        <w:rPr>
          <w:rFonts w:ascii="Times New Roman" w:hAnsi="Times New Roman" w:cs="Times New Roman"/>
          <w:sz w:val="24"/>
          <w:szCs w:val="24"/>
        </w:rPr>
      </w:pPr>
      <w:r>
        <w:rPr>
          <w:rFonts w:ascii="Times New Roman" w:hAnsi="Times New Roman" w:cs="Times New Roman"/>
          <w:i/>
          <w:sz w:val="24"/>
          <w:szCs w:val="24"/>
        </w:rPr>
        <w:t xml:space="preserve">2. Боннер А. В. </w:t>
      </w:r>
      <w:r>
        <w:rPr>
          <w:rFonts w:ascii="Times New Roman" w:hAnsi="Times New Roman" w:cs="Times New Roman"/>
          <w:sz w:val="24"/>
          <w:szCs w:val="24"/>
        </w:rPr>
        <w:t>Эхо войны. Споры о наградах. // Закон. - 2014 - № 5. - С.123.</w:t>
      </w:r>
    </w:p>
    <w:p w14:paraId="336BAF49" w14:textId="77777777" w:rsidR="001B6C3B" w:rsidRDefault="001B6C3B" w:rsidP="001B6C3B">
      <w:pPr>
        <w:tabs>
          <w:tab w:val="left" w:pos="2715"/>
        </w:tabs>
        <w:spacing w:after="0" w:line="240" w:lineRule="auto"/>
        <w:ind w:firstLine="709"/>
        <w:jc w:val="both"/>
        <w:rPr>
          <w:rFonts w:ascii="Times New Roman" w:hAnsi="Times New Roman" w:cs="Times New Roman"/>
          <w:sz w:val="24"/>
          <w:szCs w:val="24"/>
        </w:rPr>
      </w:pPr>
      <w:r>
        <w:rPr>
          <w:rFonts w:ascii="Times New Roman" w:hAnsi="Times New Roman" w:cs="Times New Roman"/>
          <w:i/>
          <w:sz w:val="24"/>
          <w:szCs w:val="24"/>
        </w:rPr>
        <w:t xml:space="preserve">3. Колесник О.Р., Степанюк А. В. </w:t>
      </w:r>
      <w:r>
        <w:rPr>
          <w:rFonts w:ascii="Times New Roman" w:hAnsi="Times New Roman" w:cs="Times New Roman"/>
          <w:sz w:val="24"/>
          <w:szCs w:val="24"/>
        </w:rPr>
        <w:t>Проблемы наследования государственных наград, почётных и памятных знаков // Современные тенденции развития науки и технологий. -  2015. - № 7- 6. - С. 70.</w:t>
      </w:r>
    </w:p>
    <w:p w14:paraId="453062C1" w14:textId="77777777" w:rsidR="001B6C3B" w:rsidRDefault="001B6C3B" w:rsidP="001B6C3B">
      <w:pPr>
        <w:tabs>
          <w:tab w:val="left" w:pos="2715"/>
        </w:tabs>
        <w:spacing w:after="0" w:line="240" w:lineRule="auto"/>
        <w:ind w:firstLine="709"/>
        <w:jc w:val="both"/>
        <w:rPr>
          <w:rFonts w:ascii="Times New Roman" w:hAnsi="Times New Roman" w:cs="Times New Roman"/>
          <w:sz w:val="24"/>
          <w:szCs w:val="24"/>
        </w:rPr>
      </w:pPr>
      <w:r>
        <w:rPr>
          <w:rFonts w:ascii="Times New Roman" w:hAnsi="Times New Roman" w:cs="Times New Roman"/>
          <w:i/>
          <w:sz w:val="24"/>
          <w:szCs w:val="24"/>
        </w:rPr>
        <w:t xml:space="preserve">4. Мыринов В.В. </w:t>
      </w:r>
      <w:r>
        <w:rPr>
          <w:rFonts w:ascii="Times New Roman" w:hAnsi="Times New Roman" w:cs="Times New Roman"/>
          <w:sz w:val="24"/>
          <w:szCs w:val="24"/>
        </w:rPr>
        <w:t>Правовой механизм наследования государственных наград // Теоретические и прикладные проблемы социально - правового контроля и предупреждения преступности: сборник научных статей. - 2014. - С. 198</w:t>
      </w:r>
    </w:p>
    <w:p w14:paraId="6C495AC8" w14:textId="77777777" w:rsidR="001B6C3B" w:rsidRDefault="001B6C3B" w:rsidP="001B6C3B">
      <w:pPr>
        <w:spacing w:after="0" w:line="240" w:lineRule="auto"/>
        <w:rPr>
          <w:rFonts w:ascii="Times New Roman" w:hAnsi="Times New Roman" w:cs="Times New Roman"/>
          <w:sz w:val="24"/>
          <w:szCs w:val="24"/>
        </w:rPr>
        <w:sectPr w:rsidR="001B6C3B">
          <w:footnotePr>
            <w:numRestart w:val="eachPage"/>
          </w:footnotePr>
          <w:pgSz w:w="11906" w:h="16838"/>
          <w:pgMar w:top="1134" w:right="1134" w:bottom="1134" w:left="1134" w:header="709" w:footer="709" w:gutter="0"/>
          <w:cols w:space="720"/>
        </w:sectPr>
      </w:pPr>
    </w:p>
    <w:p w14:paraId="29597D13" w14:textId="77777777" w:rsidR="001B6C3B" w:rsidRDefault="001B6C3B" w:rsidP="001B6C3B">
      <w:pPr>
        <w:shd w:val="clear" w:color="auto" w:fill="FFFFFF"/>
        <w:spacing w:after="0" w:line="240" w:lineRule="auto"/>
        <w:jc w:val="right"/>
        <w:rPr>
          <w:rFonts w:ascii="Times New Roman" w:eastAsia="Times New Roman" w:hAnsi="Times New Roman" w:cs="Times New Roman"/>
          <w:sz w:val="23"/>
          <w:szCs w:val="23"/>
        </w:rPr>
      </w:pPr>
      <w:r>
        <w:rPr>
          <w:rFonts w:ascii="Times New Roman" w:eastAsia="Times New Roman" w:hAnsi="Times New Roman" w:cs="Times New Roman"/>
          <w:sz w:val="24"/>
          <w:szCs w:val="24"/>
        </w:rPr>
        <w:lastRenderedPageBreak/>
        <w:t>УДК</w:t>
      </w:r>
      <w:r>
        <w:rPr>
          <w:rFonts w:ascii="Times New Roman" w:hAnsi="Times New Roman" w:cs="Times New Roman"/>
          <w:sz w:val="20"/>
          <w:szCs w:val="20"/>
          <w:shd w:val="clear" w:color="auto" w:fill="FFFFFF"/>
        </w:rPr>
        <w:t xml:space="preserve"> </w:t>
      </w:r>
      <w:r>
        <w:rPr>
          <w:rFonts w:ascii="Times New Roman" w:hAnsi="Times New Roman" w:cs="Times New Roman"/>
          <w:sz w:val="24"/>
          <w:szCs w:val="24"/>
          <w:shd w:val="clear" w:color="auto" w:fill="FFFFFF"/>
        </w:rPr>
        <w:t>347.462</w:t>
      </w:r>
      <w:r>
        <w:rPr>
          <w:rFonts w:ascii="Times New Roman" w:eastAsia="Times New Roman" w:hAnsi="Times New Roman" w:cs="Times New Roman"/>
          <w:sz w:val="24"/>
          <w:szCs w:val="24"/>
        </w:rPr>
        <w:t xml:space="preserve"> </w:t>
      </w:r>
    </w:p>
    <w:p w14:paraId="691FFD3E" w14:textId="77777777" w:rsidR="001B6C3B" w:rsidRDefault="001B6C3B" w:rsidP="001B6C3B">
      <w:pPr>
        <w:pStyle w:val="ConsPlusNormal"/>
        <w:ind w:firstLine="567"/>
        <w:jc w:val="right"/>
        <w:rPr>
          <w:lang w:val="ru-RU"/>
        </w:rPr>
      </w:pPr>
      <w:r>
        <w:rPr>
          <w:lang w:val="ru-RU"/>
        </w:rPr>
        <w:t>Бухтояров Владислав Евгеньевич</w:t>
      </w:r>
    </w:p>
    <w:p w14:paraId="0B432E56" w14:textId="77777777" w:rsidR="001B6C3B" w:rsidRDefault="001B6C3B" w:rsidP="001B6C3B">
      <w:pPr>
        <w:spacing w:after="0" w:line="240" w:lineRule="auto"/>
        <w:ind w:firstLine="567"/>
        <w:jc w:val="right"/>
        <w:rPr>
          <w:rStyle w:val="shorttext"/>
          <w:rFonts w:ascii="Times New Roman" w:eastAsiaTheme="minorEastAsia" w:hAnsi="Times New Roman" w:cs="Times New Roman"/>
          <w:sz w:val="24"/>
          <w:szCs w:val="24"/>
          <w:lang w:eastAsia="ru-RU"/>
        </w:rPr>
      </w:pPr>
      <w:r>
        <w:rPr>
          <w:rStyle w:val="shorttext"/>
          <w:rFonts w:ascii="Times New Roman" w:eastAsiaTheme="minorEastAsia" w:hAnsi="Times New Roman"/>
          <w:sz w:val="24"/>
          <w:szCs w:val="24"/>
          <w:lang w:val="en-US" w:eastAsia="ru-RU"/>
        </w:rPr>
        <w:t>Bukhtoyarov</w:t>
      </w:r>
      <w:r w:rsidRPr="00430C1C">
        <w:rPr>
          <w:rStyle w:val="shorttext"/>
          <w:rFonts w:ascii="Times New Roman" w:eastAsiaTheme="minorEastAsia" w:hAnsi="Times New Roman"/>
          <w:sz w:val="24"/>
          <w:szCs w:val="24"/>
          <w:lang w:eastAsia="ru-RU"/>
        </w:rPr>
        <w:t xml:space="preserve"> </w:t>
      </w:r>
      <w:r>
        <w:rPr>
          <w:rStyle w:val="shorttext"/>
          <w:rFonts w:ascii="Times New Roman" w:eastAsiaTheme="minorEastAsia" w:hAnsi="Times New Roman"/>
          <w:sz w:val="24"/>
          <w:szCs w:val="24"/>
          <w:lang w:val="en-US" w:eastAsia="ru-RU"/>
        </w:rPr>
        <w:t>Vladislav</w:t>
      </w:r>
      <w:r w:rsidRPr="00430C1C">
        <w:rPr>
          <w:rStyle w:val="shorttext"/>
          <w:rFonts w:ascii="Times New Roman" w:eastAsiaTheme="minorEastAsia" w:hAnsi="Times New Roman"/>
          <w:sz w:val="24"/>
          <w:szCs w:val="24"/>
          <w:lang w:eastAsia="ru-RU"/>
        </w:rPr>
        <w:t xml:space="preserve"> </w:t>
      </w:r>
      <w:r>
        <w:rPr>
          <w:rStyle w:val="shorttext"/>
          <w:rFonts w:ascii="Times New Roman" w:eastAsiaTheme="minorEastAsia" w:hAnsi="Times New Roman"/>
          <w:sz w:val="24"/>
          <w:szCs w:val="24"/>
          <w:lang w:val="en-US" w:eastAsia="ru-RU"/>
        </w:rPr>
        <w:t>Evgenievich</w:t>
      </w:r>
    </w:p>
    <w:p w14:paraId="2B55418E" w14:textId="77777777" w:rsidR="001B6C3B" w:rsidRDefault="001B6C3B" w:rsidP="001B6C3B">
      <w:pPr>
        <w:spacing w:after="0" w:line="240" w:lineRule="auto"/>
        <w:ind w:firstLine="567"/>
        <w:jc w:val="right"/>
      </w:pPr>
      <w:r>
        <w:rPr>
          <w:rFonts w:ascii="Times New Roman" w:hAnsi="Times New Roman" w:cs="Times New Roman"/>
          <w:sz w:val="24"/>
          <w:szCs w:val="24"/>
        </w:rPr>
        <w:t xml:space="preserve">Федеральное государственное бюджетное </w:t>
      </w:r>
    </w:p>
    <w:p w14:paraId="00C0B3CA" w14:textId="77777777" w:rsidR="001B6C3B" w:rsidRDefault="001B6C3B" w:rsidP="001B6C3B">
      <w:pPr>
        <w:spacing w:after="0" w:line="240" w:lineRule="auto"/>
        <w:ind w:firstLine="567"/>
        <w:jc w:val="right"/>
        <w:rPr>
          <w:rFonts w:ascii="Times New Roman" w:hAnsi="Times New Roman" w:cs="Times New Roman"/>
          <w:sz w:val="24"/>
          <w:szCs w:val="24"/>
        </w:rPr>
      </w:pPr>
      <w:r>
        <w:rPr>
          <w:rFonts w:ascii="Times New Roman" w:hAnsi="Times New Roman" w:cs="Times New Roman"/>
          <w:sz w:val="24"/>
          <w:szCs w:val="24"/>
        </w:rPr>
        <w:t>образовательное учреждение</w:t>
      </w:r>
    </w:p>
    <w:p w14:paraId="7BBDFFA1" w14:textId="77777777" w:rsidR="001B6C3B" w:rsidRDefault="001B6C3B" w:rsidP="001B6C3B">
      <w:pPr>
        <w:spacing w:after="0" w:line="240" w:lineRule="auto"/>
        <w:ind w:firstLine="567"/>
        <w:jc w:val="right"/>
        <w:rPr>
          <w:rFonts w:ascii="Times New Roman" w:hAnsi="Times New Roman" w:cs="Times New Roman"/>
          <w:sz w:val="24"/>
          <w:szCs w:val="24"/>
        </w:rPr>
      </w:pPr>
      <w:r>
        <w:rPr>
          <w:rFonts w:ascii="Times New Roman" w:hAnsi="Times New Roman" w:cs="Times New Roman"/>
          <w:sz w:val="24"/>
          <w:szCs w:val="24"/>
        </w:rPr>
        <w:t>высшего образования</w:t>
      </w:r>
    </w:p>
    <w:p w14:paraId="4304CCFC" w14:textId="77777777" w:rsidR="001B6C3B" w:rsidRDefault="001B6C3B" w:rsidP="001B6C3B">
      <w:pPr>
        <w:spacing w:after="0" w:line="240" w:lineRule="auto"/>
        <w:ind w:firstLine="567"/>
        <w:jc w:val="right"/>
        <w:rPr>
          <w:rFonts w:ascii="Times New Roman" w:hAnsi="Times New Roman" w:cs="Times New Roman"/>
          <w:sz w:val="24"/>
          <w:szCs w:val="24"/>
        </w:rPr>
      </w:pPr>
      <w:r>
        <w:rPr>
          <w:rFonts w:ascii="Times New Roman" w:hAnsi="Times New Roman" w:cs="Times New Roman"/>
          <w:sz w:val="24"/>
          <w:szCs w:val="24"/>
        </w:rPr>
        <w:t>«Кубанский государственный аграрный университет</w:t>
      </w:r>
    </w:p>
    <w:p w14:paraId="2A38AA8D" w14:textId="77777777" w:rsidR="001B6C3B" w:rsidRDefault="001B6C3B" w:rsidP="001B6C3B">
      <w:pPr>
        <w:spacing w:after="0" w:line="240" w:lineRule="auto"/>
        <w:ind w:firstLine="567"/>
        <w:jc w:val="right"/>
        <w:rPr>
          <w:rFonts w:ascii="Times New Roman" w:hAnsi="Times New Roman" w:cs="Times New Roman"/>
          <w:sz w:val="24"/>
          <w:szCs w:val="24"/>
        </w:rPr>
      </w:pPr>
      <w:r>
        <w:rPr>
          <w:rFonts w:ascii="Times New Roman" w:hAnsi="Times New Roman" w:cs="Times New Roman"/>
          <w:sz w:val="24"/>
          <w:szCs w:val="24"/>
        </w:rPr>
        <w:t xml:space="preserve"> имени И.Т. Трубилина»</w:t>
      </w:r>
    </w:p>
    <w:p w14:paraId="5AF3B63E" w14:textId="77777777" w:rsidR="001B6C3B" w:rsidRDefault="001B6C3B" w:rsidP="001B6C3B">
      <w:pPr>
        <w:pStyle w:val="ConsPlusNormal"/>
        <w:ind w:firstLine="567"/>
        <w:jc w:val="right"/>
        <w:rPr>
          <w:rFonts w:eastAsiaTheme="minorHAnsi"/>
          <w:lang w:eastAsia="en-US"/>
        </w:rPr>
      </w:pPr>
      <w:r>
        <w:rPr>
          <w:rFonts w:eastAsiaTheme="minorHAnsi"/>
          <w:lang w:eastAsia="en-US"/>
        </w:rPr>
        <w:t>Federal State Budgetary Educational Institution of Higher Education</w:t>
      </w:r>
    </w:p>
    <w:p w14:paraId="52A34C41" w14:textId="77777777" w:rsidR="001B6C3B" w:rsidRDefault="001B6C3B" w:rsidP="001B6C3B">
      <w:pPr>
        <w:pStyle w:val="ConsPlusNormal"/>
        <w:ind w:firstLine="567"/>
        <w:jc w:val="right"/>
        <w:rPr>
          <w:rFonts w:eastAsiaTheme="minorHAnsi"/>
          <w:lang w:eastAsia="en-US"/>
        </w:rPr>
      </w:pPr>
      <w:r>
        <w:rPr>
          <w:rFonts w:eastAsiaTheme="minorHAnsi"/>
          <w:lang w:eastAsia="en-US"/>
        </w:rPr>
        <w:t>“Kuban State Agrarian University named after I.T. Trubilin”</w:t>
      </w:r>
    </w:p>
    <w:p w14:paraId="5DB12A62" w14:textId="77777777" w:rsidR="001B6C3B" w:rsidRDefault="001B6C3B" w:rsidP="001B6C3B">
      <w:pPr>
        <w:pStyle w:val="ConsPlusNormal"/>
        <w:ind w:firstLine="567"/>
        <w:jc w:val="right"/>
        <w:rPr>
          <w:rFonts w:eastAsiaTheme="minorHAnsi"/>
          <w:lang w:val="ru-RU" w:eastAsia="en-US"/>
        </w:rPr>
      </w:pPr>
      <w:r>
        <w:rPr>
          <w:rFonts w:eastAsiaTheme="minorHAnsi"/>
          <w:lang w:val="ru-RU" w:eastAsia="en-US"/>
        </w:rPr>
        <w:t>Российская Федерация, г. Краснодар</w:t>
      </w:r>
    </w:p>
    <w:p w14:paraId="70B3EA75" w14:textId="77777777" w:rsidR="001B6C3B" w:rsidRDefault="001B6C3B" w:rsidP="001B6C3B">
      <w:pPr>
        <w:pStyle w:val="ConsPlusNormal"/>
        <w:ind w:firstLine="567"/>
        <w:jc w:val="right"/>
        <w:rPr>
          <w:rFonts w:eastAsiaTheme="minorHAnsi"/>
          <w:lang w:val="ru-RU" w:eastAsia="en-US"/>
        </w:rPr>
      </w:pPr>
      <w:r>
        <w:rPr>
          <w:rFonts w:eastAsiaTheme="minorHAnsi"/>
          <w:lang w:eastAsia="en-US"/>
        </w:rPr>
        <w:t>Russian</w:t>
      </w:r>
      <w:r>
        <w:rPr>
          <w:rFonts w:eastAsiaTheme="minorHAnsi"/>
          <w:lang w:val="ru-RU" w:eastAsia="en-US"/>
        </w:rPr>
        <w:t xml:space="preserve"> </w:t>
      </w:r>
      <w:r>
        <w:rPr>
          <w:rFonts w:eastAsiaTheme="minorHAnsi"/>
          <w:lang w:eastAsia="en-US"/>
        </w:rPr>
        <w:t>Federation</w:t>
      </w:r>
      <w:r>
        <w:rPr>
          <w:rFonts w:eastAsiaTheme="minorHAnsi"/>
          <w:lang w:val="ru-RU" w:eastAsia="en-US"/>
        </w:rPr>
        <w:t xml:space="preserve">, </w:t>
      </w:r>
      <w:r>
        <w:rPr>
          <w:rFonts w:eastAsiaTheme="minorHAnsi"/>
          <w:lang w:eastAsia="en-US"/>
        </w:rPr>
        <w:t>Krasnodar</w:t>
      </w:r>
    </w:p>
    <w:p w14:paraId="41368A2F" w14:textId="77777777" w:rsidR="001B6C3B" w:rsidRDefault="001B6C3B" w:rsidP="001B6C3B">
      <w:pPr>
        <w:pStyle w:val="ConsPlusNormal"/>
        <w:ind w:firstLine="567"/>
        <w:jc w:val="right"/>
        <w:rPr>
          <w:rFonts w:eastAsiaTheme="minorHAnsi"/>
          <w:lang w:val="ru-RU" w:eastAsia="en-US"/>
        </w:rPr>
      </w:pPr>
      <w:r>
        <w:rPr>
          <w:rFonts w:eastAsiaTheme="minorHAnsi"/>
          <w:lang w:eastAsia="en-US"/>
        </w:rPr>
        <w:t>vlad</w:t>
      </w:r>
      <w:r>
        <w:rPr>
          <w:rFonts w:eastAsiaTheme="minorHAnsi"/>
          <w:lang w:val="ru-RU" w:eastAsia="en-US"/>
        </w:rPr>
        <w:t>.</w:t>
      </w:r>
      <w:r>
        <w:rPr>
          <w:rFonts w:eastAsiaTheme="minorHAnsi"/>
          <w:lang w:eastAsia="en-US"/>
        </w:rPr>
        <w:t>bukhtoyarov</w:t>
      </w:r>
      <w:r>
        <w:rPr>
          <w:rFonts w:eastAsiaTheme="minorHAnsi"/>
          <w:lang w:val="ru-RU" w:eastAsia="en-US"/>
        </w:rPr>
        <w:t>252@</w:t>
      </w:r>
      <w:r>
        <w:rPr>
          <w:rFonts w:eastAsiaTheme="minorHAnsi"/>
          <w:lang w:eastAsia="en-US"/>
        </w:rPr>
        <w:t>mail</w:t>
      </w:r>
      <w:r>
        <w:rPr>
          <w:rFonts w:eastAsiaTheme="minorHAnsi"/>
          <w:lang w:val="ru-RU" w:eastAsia="en-US"/>
        </w:rPr>
        <w:t>.</w:t>
      </w:r>
      <w:r>
        <w:rPr>
          <w:rFonts w:eastAsiaTheme="minorHAnsi"/>
          <w:lang w:eastAsia="en-US"/>
        </w:rPr>
        <w:t>ru</w:t>
      </w:r>
    </w:p>
    <w:p w14:paraId="645FF454" w14:textId="77777777" w:rsidR="001B6C3B" w:rsidRDefault="001B6C3B" w:rsidP="001B6C3B">
      <w:pPr>
        <w:pStyle w:val="ConsPlusNormal"/>
        <w:ind w:firstLine="567"/>
        <w:jc w:val="right"/>
        <w:rPr>
          <w:rFonts w:eastAsiaTheme="minorHAnsi"/>
          <w:lang w:val="ru-RU" w:eastAsia="en-US"/>
        </w:rPr>
      </w:pPr>
      <w:r>
        <w:rPr>
          <w:rFonts w:eastAsiaTheme="minorHAnsi"/>
          <w:lang w:val="ru-RU" w:eastAsia="en-US"/>
        </w:rPr>
        <w:t>Научный руководитель</w:t>
      </w:r>
    </w:p>
    <w:p w14:paraId="502D30C0" w14:textId="77777777" w:rsidR="001B6C3B" w:rsidRDefault="001B6C3B" w:rsidP="001B6C3B">
      <w:pPr>
        <w:pStyle w:val="ConsPlusNormal"/>
        <w:ind w:firstLine="567"/>
        <w:jc w:val="right"/>
        <w:rPr>
          <w:rFonts w:eastAsiaTheme="minorHAnsi"/>
          <w:lang w:val="ru-RU" w:eastAsia="en-US"/>
        </w:rPr>
      </w:pPr>
      <w:r>
        <w:rPr>
          <w:rFonts w:eastAsiaTheme="minorHAnsi"/>
          <w:lang w:val="ru-RU" w:eastAsia="en-US"/>
        </w:rPr>
        <w:t>Попова Л.И.</w:t>
      </w:r>
    </w:p>
    <w:p w14:paraId="70B427B7" w14:textId="77777777" w:rsidR="001B6C3B" w:rsidRDefault="001B6C3B" w:rsidP="001B6C3B">
      <w:pPr>
        <w:spacing w:line="240" w:lineRule="auto"/>
        <w:ind w:firstLine="709"/>
        <w:jc w:val="both"/>
        <w:rPr>
          <w:rFonts w:ascii="Times New Roman" w:hAnsi="Times New Roman" w:cs="Times New Roman"/>
          <w:b/>
          <w:sz w:val="28"/>
          <w:szCs w:val="28"/>
        </w:rPr>
      </w:pPr>
    </w:p>
    <w:p w14:paraId="4A647BE2" w14:textId="77777777" w:rsidR="001B6C3B" w:rsidRDefault="001B6C3B" w:rsidP="001B6C3B">
      <w:pPr>
        <w:spacing w:line="240" w:lineRule="auto"/>
        <w:ind w:firstLine="709"/>
        <w:jc w:val="center"/>
        <w:rPr>
          <w:rFonts w:ascii="Times New Roman" w:hAnsi="Times New Roman" w:cs="Times New Roman"/>
          <w:sz w:val="28"/>
          <w:szCs w:val="28"/>
        </w:rPr>
      </w:pPr>
      <w:r>
        <w:rPr>
          <w:rFonts w:ascii="Times New Roman" w:hAnsi="Times New Roman" w:cs="Times New Roman"/>
          <w:b/>
          <w:sz w:val="28"/>
          <w:szCs w:val="28"/>
        </w:rPr>
        <w:t>РОЛЬ НОТАРИАТА В ГРАЖДАНСКО-ПРАВОВЫХ ОТНОШЕНИЯХ</w:t>
      </w:r>
    </w:p>
    <w:p w14:paraId="0BF1763B" w14:textId="77777777" w:rsidR="001B6C3B" w:rsidRDefault="001B6C3B" w:rsidP="001B6C3B">
      <w:pPr>
        <w:spacing w:line="240" w:lineRule="auto"/>
        <w:ind w:firstLine="709"/>
        <w:jc w:val="center"/>
        <w:rPr>
          <w:rFonts w:ascii="Times New Roman" w:hAnsi="Times New Roman" w:cs="Times New Roman"/>
          <w:b/>
          <w:sz w:val="24"/>
          <w:szCs w:val="24"/>
          <w:lang w:val="en-US"/>
        </w:rPr>
      </w:pPr>
      <w:r>
        <w:rPr>
          <w:rFonts w:ascii="Times New Roman" w:hAnsi="Times New Roman" w:cs="Times New Roman"/>
          <w:b/>
          <w:sz w:val="24"/>
          <w:szCs w:val="24"/>
          <w:lang w:val="en-US"/>
        </w:rPr>
        <w:t>THE ROLE OF NOTARIES IN CIVIL LAW RELATIONS</w:t>
      </w:r>
    </w:p>
    <w:p w14:paraId="495162D7" w14:textId="77777777" w:rsidR="001B6C3B" w:rsidRPr="00FD5ABB" w:rsidRDefault="001B6C3B" w:rsidP="001B6C3B">
      <w:pPr>
        <w:spacing w:after="120" w:line="240" w:lineRule="auto"/>
        <w:ind w:firstLine="709"/>
        <w:jc w:val="both"/>
        <w:rPr>
          <w:rFonts w:ascii="Times New Roman" w:hAnsi="Times New Roman" w:cs="Times New Roman"/>
          <w:sz w:val="24"/>
          <w:szCs w:val="24"/>
        </w:rPr>
      </w:pPr>
      <w:r w:rsidRPr="00FD5ABB">
        <w:rPr>
          <w:rFonts w:ascii="Times New Roman" w:hAnsi="Times New Roman" w:cs="Times New Roman"/>
          <w:sz w:val="24"/>
          <w:szCs w:val="24"/>
        </w:rPr>
        <w:t>В данной статье рассматриваются вопросы реализации гражданских прав лицами путем исполнения нотариусами предусмотренных законодательными актами нотариальной деятельности. В нашем государстве нотариат всегда представлял один из особых институтов государственной деятельности. Каждый гражданин хотя бы один раз в жизни обращался к нотариусу, например, за предоставление доверенности, за оформлением дарения или наследства, а также за нотариальным удостоверением юридически значимых документов.</w:t>
      </w:r>
    </w:p>
    <w:p w14:paraId="5249AECA" w14:textId="77777777" w:rsidR="001B6C3B" w:rsidRPr="00FD5ABB" w:rsidRDefault="001B6C3B" w:rsidP="001B6C3B">
      <w:pPr>
        <w:spacing w:after="120" w:line="240" w:lineRule="auto"/>
        <w:ind w:firstLine="709"/>
        <w:jc w:val="both"/>
        <w:rPr>
          <w:rFonts w:ascii="Times New Roman" w:hAnsi="Times New Roman" w:cs="Times New Roman"/>
          <w:sz w:val="24"/>
          <w:szCs w:val="24"/>
        </w:rPr>
      </w:pPr>
      <w:r w:rsidRPr="00FD5ABB">
        <w:rPr>
          <w:rFonts w:ascii="Times New Roman" w:hAnsi="Times New Roman" w:cs="Times New Roman"/>
          <w:sz w:val="24"/>
          <w:szCs w:val="24"/>
        </w:rPr>
        <w:t>Ключевые слова: сделки, гражданские правоотношения, нотариат, основы нотариата, юридический институт, защита прав и свобод.</w:t>
      </w:r>
    </w:p>
    <w:p w14:paraId="6FC36FAB" w14:textId="77777777" w:rsidR="001B6C3B" w:rsidRPr="00FD5ABB" w:rsidRDefault="001B6C3B" w:rsidP="001B6C3B">
      <w:pPr>
        <w:spacing w:after="120" w:line="240" w:lineRule="auto"/>
        <w:ind w:firstLine="709"/>
        <w:jc w:val="both"/>
        <w:rPr>
          <w:rFonts w:ascii="Times New Roman" w:hAnsi="Times New Roman" w:cs="Times New Roman"/>
          <w:sz w:val="24"/>
          <w:szCs w:val="24"/>
          <w:lang w:val="en-US"/>
        </w:rPr>
      </w:pPr>
      <w:r w:rsidRPr="00FD5ABB">
        <w:rPr>
          <w:rFonts w:ascii="Times New Roman" w:hAnsi="Times New Roman" w:cs="Times New Roman"/>
          <w:sz w:val="24"/>
          <w:szCs w:val="24"/>
          <w:lang w:val="en-US"/>
        </w:rPr>
        <w:t>In our time is the pace of development of social spheres of life and the legal system in Russian Federation it is based on the improvement of many legal institutions.</w:t>
      </w:r>
      <w:r w:rsidRPr="00FD5ABB">
        <w:rPr>
          <w:rFonts w:ascii="Times New Roman" w:hAnsi="Times New Roman" w:cs="Times New Roman"/>
          <w:lang w:val="en-US"/>
        </w:rPr>
        <w:t xml:space="preserve"> </w:t>
      </w:r>
      <w:r w:rsidRPr="00FD5ABB">
        <w:rPr>
          <w:rFonts w:ascii="Times New Roman" w:hAnsi="Times New Roman" w:cs="Times New Roman"/>
          <w:sz w:val="24"/>
          <w:szCs w:val="24"/>
          <w:lang w:val="en-US"/>
        </w:rPr>
        <w:t>Laws, economic and social bases of activity of spheres are changing.</w:t>
      </w:r>
      <w:r w:rsidRPr="00FD5ABB">
        <w:rPr>
          <w:rFonts w:ascii="Times New Roman" w:hAnsi="Times New Roman" w:cs="Times New Roman"/>
          <w:lang w:val="en-US"/>
        </w:rPr>
        <w:t xml:space="preserve"> </w:t>
      </w:r>
      <w:r w:rsidRPr="00FD5ABB">
        <w:rPr>
          <w:rFonts w:ascii="Times New Roman" w:hAnsi="Times New Roman" w:cs="Times New Roman"/>
          <w:sz w:val="24"/>
          <w:szCs w:val="24"/>
          <w:lang w:val="en-US"/>
        </w:rPr>
        <w:t>The development of these relations did not leave aside the notary, despite the fact that,</w:t>
      </w:r>
      <w:r w:rsidRPr="00FD5ABB">
        <w:rPr>
          <w:rFonts w:ascii="Times New Roman" w:hAnsi="Times New Roman" w:cs="Times New Roman"/>
          <w:lang w:val="en-US"/>
        </w:rPr>
        <w:t xml:space="preserve"> </w:t>
      </w:r>
      <w:r w:rsidRPr="00FD5ABB">
        <w:rPr>
          <w:rFonts w:ascii="Times New Roman" w:hAnsi="Times New Roman" w:cs="Times New Roman"/>
          <w:sz w:val="24"/>
          <w:szCs w:val="24"/>
          <w:lang w:val="en-US"/>
        </w:rPr>
        <w:t>that this legal institution is the narrowest in comparison with other legal institutions.</w:t>
      </w:r>
      <w:r w:rsidRPr="00FD5ABB">
        <w:rPr>
          <w:rFonts w:ascii="Times New Roman" w:hAnsi="Times New Roman" w:cs="Times New Roman"/>
          <w:sz w:val="27"/>
          <w:szCs w:val="27"/>
          <w:lang w:val="en-US"/>
        </w:rPr>
        <w:t xml:space="preserve"> </w:t>
      </w:r>
      <w:r w:rsidRPr="00FD5ABB">
        <w:rPr>
          <w:rFonts w:ascii="Times New Roman" w:hAnsi="Times New Roman" w:cs="Times New Roman"/>
          <w:sz w:val="24"/>
          <w:szCs w:val="24"/>
          <w:lang w:val="en-US"/>
        </w:rPr>
        <w:t>Currently, the Russian notary is on the way to many changes.</w:t>
      </w:r>
    </w:p>
    <w:p w14:paraId="379FEFBA" w14:textId="77777777" w:rsidR="001B6C3B" w:rsidRPr="00FD5ABB" w:rsidRDefault="001B6C3B" w:rsidP="001B6C3B">
      <w:pPr>
        <w:spacing w:after="120" w:line="240" w:lineRule="auto"/>
        <w:ind w:firstLine="709"/>
        <w:jc w:val="both"/>
        <w:rPr>
          <w:rFonts w:ascii="Times New Roman" w:hAnsi="Times New Roman" w:cs="Times New Roman"/>
          <w:sz w:val="24"/>
          <w:szCs w:val="24"/>
          <w:lang w:val="en-US"/>
        </w:rPr>
      </w:pPr>
      <w:r w:rsidRPr="00FD5ABB">
        <w:rPr>
          <w:rFonts w:ascii="Times New Roman" w:hAnsi="Times New Roman" w:cs="Times New Roman"/>
          <w:sz w:val="24"/>
          <w:szCs w:val="24"/>
          <w:lang w:val="en-US"/>
        </w:rPr>
        <w:t>Keywords:</w:t>
      </w:r>
      <w:r w:rsidRPr="00FD5ABB">
        <w:rPr>
          <w:rFonts w:ascii="Times New Roman" w:hAnsi="Times New Roman" w:cs="Times New Roman"/>
          <w:sz w:val="42"/>
          <w:szCs w:val="42"/>
          <w:lang w:val="en-US"/>
        </w:rPr>
        <w:t xml:space="preserve"> </w:t>
      </w:r>
      <w:r w:rsidRPr="00FD5ABB">
        <w:rPr>
          <w:rFonts w:ascii="Times New Roman" w:hAnsi="Times New Roman" w:cs="Times New Roman"/>
          <w:sz w:val="24"/>
          <w:szCs w:val="24"/>
          <w:lang w:val="en-US"/>
        </w:rPr>
        <w:t>deals, civil legal relations, notary,</w:t>
      </w:r>
      <w:r w:rsidRPr="00FD5ABB">
        <w:rPr>
          <w:rFonts w:ascii="Times New Roman" w:hAnsi="Times New Roman" w:cs="Times New Roman"/>
          <w:lang w:val="en-US"/>
        </w:rPr>
        <w:t xml:space="preserve"> </w:t>
      </w:r>
      <w:r w:rsidRPr="00FD5ABB">
        <w:rPr>
          <w:rFonts w:ascii="Times New Roman" w:hAnsi="Times New Roman" w:cs="Times New Roman"/>
          <w:sz w:val="24"/>
          <w:szCs w:val="24"/>
          <w:lang w:val="en-US"/>
        </w:rPr>
        <w:t>the basics of notary services,</w:t>
      </w:r>
      <w:r w:rsidRPr="00FD5ABB">
        <w:rPr>
          <w:rFonts w:ascii="Times New Roman" w:hAnsi="Times New Roman" w:cs="Times New Roman"/>
          <w:lang w:val="en-US"/>
        </w:rPr>
        <w:t xml:space="preserve"> </w:t>
      </w:r>
      <w:r w:rsidRPr="00FD5ABB">
        <w:rPr>
          <w:rFonts w:ascii="Times New Roman" w:hAnsi="Times New Roman" w:cs="Times New Roman"/>
          <w:sz w:val="24"/>
          <w:szCs w:val="24"/>
          <w:lang w:val="en-US"/>
        </w:rPr>
        <w:t>law Institute, protection of rights and freedoms.</w:t>
      </w:r>
    </w:p>
    <w:p w14:paraId="0DBC8F1C" w14:textId="77777777" w:rsidR="001B6C3B" w:rsidRDefault="001B6C3B" w:rsidP="001B6C3B">
      <w:pPr>
        <w:spacing w:after="120" w:line="240" w:lineRule="auto"/>
        <w:ind w:firstLine="709"/>
        <w:jc w:val="both"/>
        <w:rPr>
          <w:rFonts w:ascii="Times New Roman" w:hAnsi="Times New Roman" w:cs="Times New Roman"/>
          <w:i/>
          <w:sz w:val="24"/>
          <w:szCs w:val="24"/>
          <w:lang w:val="en-US"/>
        </w:rPr>
      </w:pPr>
    </w:p>
    <w:p w14:paraId="15CAE52A"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наше время темп развития общественных сфер жизнедеятельности и системы права в Российской Федерации базируется на совершенствование многих юридических институтов. Меняются законы, экономические, социальные основы деятельности сфер общества. Развитие указанных отношений не оставило в стороне и нотариат, несмотря на то, что этот правовой институт является наиболее узким в сравнении с другими юридическими институтами. В настоящее время российский нотариат на пути к множествам изменений.</w:t>
      </w:r>
    </w:p>
    <w:p w14:paraId="23C63462"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Если ссылаться на статью 1 «Основ законодательства Российской Федерации о нотариате», то можно  рассмотреть  нотариат как систему органов и их специальные действия</w:t>
      </w:r>
      <w:r>
        <w:rPr>
          <w:rStyle w:val="a7"/>
          <w:rFonts w:ascii="Times New Roman" w:hAnsi="Times New Roman" w:cs="Times New Roman"/>
          <w:sz w:val="24"/>
          <w:szCs w:val="24"/>
        </w:rPr>
        <w:footnoteReference w:id="92"/>
      </w:r>
      <w:r>
        <w:rPr>
          <w:rFonts w:ascii="Times New Roman" w:hAnsi="Times New Roman" w:cs="Times New Roman"/>
          <w:sz w:val="24"/>
          <w:szCs w:val="24"/>
        </w:rPr>
        <w:t xml:space="preserve">. Многие ученые склоняются к тому, что нотариат считается системой определенных </w:t>
      </w:r>
      <w:r>
        <w:rPr>
          <w:rFonts w:ascii="Times New Roman" w:hAnsi="Times New Roman" w:cs="Times New Roman"/>
          <w:sz w:val="24"/>
          <w:szCs w:val="24"/>
        </w:rPr>
        <w:lastRenderedPageBreak/>
        <w:t xml:space="preserve">специальных органов. Другая же группа утверждает, что нотариат обозначает  прежде всего систему особых действий, входящих исключительно только в компетенцию нотариусов. </w:t>
      </w:r>
    </w:p>
    <w:p w14:paraId="05D448F4" w14:textId="77777777" w:rsidR="001B6C3B" w:rsidRDefault="001B6C3B" w:rsidP="001B6C3B">
      <w:pPr>
        <w:pStyle w:val="aa"/>
        <w:spacing w:before="0" w:beforeAutospacing="0" w:after="0" w:afterAutospacing="0"/>
        <w:ind w:firstLine="709"/>
        <w:jc w:val="both"/>
        <w:textAlignment w:val="top"/>
      </w:pPr>
      <w:r>
        <w:t>В основах нотариата отсутствует понятие нотариата, но в них иногда идет речь о нотариальной деятельности. В законах субъекта, в отличие от федеральных актов, присутствуют попытки законно разъяснить понятие нотариата.</w:t>
      </w:r>
    </w:p>
    <w:p w14:paraId="3BFF78B4" w14:textId="77777777" w:rsidR="001B6C3B" w:rsidRDefault="001B6C3B" w:rsidP="001B6C3B">
      <w:pPr>
        <w:pStyle w:val="aa"/>
        <w:spacing w:before="0" w:beforeAutospacing="0" w:after="0" w:afterAutospacing="0"/>
        <w:ind w:firstLine="709"/>
        <w:jc w:val="both"/>
        <w:textAlignment w:val="top"/>
      </w:pPr>
      <w:r>
        <w:t>Целями нотариата являются охрана собственности, прав и законных интересов граждан, а также юридических лиц; закрепление  законности и общественного порядка; профилактика правонарушений путём своевременного и законного удостоверения договоров и сделок, оформления наследства, совершения исполнительных подписей и других нотариальных действий</w:t>
      </w:r>
      <w:r>
        <w:rPr>
          <w:rStyle w:val="a7"/>
        </w:rPr>
        <w:footnoteReference w:id="93"/>
      </w:r>
      <w:r>
        <w:t>.</w:t>
      </w:r>
    </w:p>
    <w:p w14:paraId="52C676D8" w14:textId="77777777" w:rsidR="001B6C3B" w:rsidRDefault="001B6C3B" w:rsidP="001B6C3B">
      <w:pPr>
        <w:pStyle w:val="aa"/>
        <w:spacing w:before="0" w:beforeAutospacing="0" w:after="0" w:afterAutospacing="0"/>
        <w:ind w:firstLine="709"/>
        <w:jc w:val="both"/>
        <w:textAlignment w:val="top"/>
      </w:pPr>
      <w:r>
        <w:t>Значение деятельности нотариальных органов образуется прежде всего для того, чтобы осуществить реальность приобретаемых прав и их закрепление в установленной юридической форме.</w:t>
      </w:r>
    </w:p>
    <w:p w14:paraId="22CA1410" w14:textId="77777777" w:rsidR="001B6C3B" w:rsidRDefault="001B6C3B" w:rsidP="001B6C3B">
      <w:pPr>
        <w:pStyle w:val="aa"/>
        <w:spacing w:before="0" w:beforeAutospacing="0" w:after="0" w:afterAutospacing="0"/>
        <w:ind w:firstLine="709"/>
        <w:jc w:val="both"/>
        <w:textAlignment w:val="top"/>
      </w:pPr>
      <w:r>
        <w:t>В работе органы нотариата ссылаются на существующее законодательство Российской Федерации и жестко требуют соблюдение его для всех лиц, которые используют услуги нотариусов и обращаются с целью совершения определённых нотариальных действий.</w:t>
      </w:r>
    </w:p>
    <w:p w14:paraId="3D706A40" w14:textId="77777777" w:rsidR="001B6C3B" w:rsidRDefault="001B6C3B" w:rsidP="001B6C3B">
      <w:pPr>
        <w:pStyle w:val="aa"/>
        <w:spacing w:before="0" w:beforeAutospacing="0" w:after="0" w:afterAutospacing="0"/>
        <w:ind w:firstLine="709"/>
        <w:jc w:val="both"/>
        <w:textAlignment w:val="top"/>
      </w:pPr>
      <w:r>
        <w:t>С целью по усовершенствованию законности действий нотариусов тесно связано профилактика  правонарушений. Нотариальные органы существенно влияют на многие аспекты общественной деятельности лиц в экономических отношениях, помогают в  реализации гражданских прав и предупреждению их  нарушения. При предоставлении участникам гражданских правоотношений свидетельства о праве на наследство сотрудники нотариата  строго следят за тем, чтобы не были нарушены права других лиц таких как: несовершеннолетние дети и нетрудоспособные граждане</w:t>
      </w:r>
      <w:r>
        <w:rPr>
          <w:rStyle w:val="a7"/>
        </w:rPr>
        <w:footnoteReference w:id="94"/>
      </w:r>
      <w:r>
        <w:t>. В ситуации, в которой обнаружат такие нарушения  лицами, участвующим в данном деле, нотариусы извещают об этом руководствующим органам данных учреждений  или сотрудникам прокуратуры.</w:t>
      </w:r>
    </w:p>
    <w:p w14:paraId="1CA8FB2F" w14:textId="77777777" w:rsidR="001B6C3B" w:rsidRDefault="001B6C3B" w:rsidP="001B6C3B">
      <w:pPr>
        <w:pStyle w:val="aa"/>
        <w:spacing w:before="0" w:beforeAutospacing="0" w:after="0" w:afterAutospacing="0"/>
        <w:ind w:firstLine="709"/>
        <w:jc w:val="both"/>
        <w:textAlignment w:val="top"/>
      </w:pPr>
      <w:r>
        <w:t>Перед органами нотариата стоят  задачи по охране прав лиц, которые имеют много общего с функцией судов, но исполняются они иными способами, используемыми только нотариатом, деятельность которого имеет контрольный характер. В случае дела в суде нотариально удостоверенный договор дает возможность заинтересованной стороне осуществить без особых проблем доказывание своих прав и обязанностей во время спора, подлинность всех подписей, удостоверение время заключения сделки, официальное подтверждение нотариальным органом являются исчерпывающими и подлинными. Деятельность данных органов имеет своим предметом только определённые дела, где отсутствует бесспорность в отличие от судебной, предметом которой в основном являются дела, в которых возникаю споры о материальном праве. Если по поводу имущества, оставшегося после смерти собственника, возникает спор между наследниками, то оно подлежит судебному разбирательству, причём сам судне связан нотариальным свидетельством о наследственных правах сторон спора на наследственное имущество</w:t>
      </w:r>
      <w:r>
        <w:rPr>
          <w:rStyle w:val="a7"/>
        </w:rPr>
        <w:footnoteReference w:id="95"/>
      </w:r>
      <w:r>
        <w:t>. Органы нотариата всегда используют только строго регламентированные действия, которые имеют законодательную закрепленность. В случае не правомерного совершения определенных функций нотариусом, существует ответственность, так как от их деятельности во многом зависит качество исполнения гражданами своих прав и обязанностей.</w:t>
      </w:r>
    </w:p>
    <w:p w14:paraId="19B8FD10"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наше время для результативного обеспечения нужд гражданского оборота, создания совершенных реестров появилась нужда во внедрении информационных технологий и использование системного процесса приема потока  информацией с федеральными органами государственной власти.</w:t>
      </w:r>
    </w:p>
    <w:p w14:paraId="68D1111F"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Сохранение и усовершенствование института нотариата в наше время склоняется к его пользе и выгоде  для общества и государства. Так же вместе с  публичным статусом нотариуса, нотариальных действий и актов, есть множества других важных частей, дающих институту нотариата множество пользы, делая его результативным</w:t>
      </w:r>
      <w:r>
        <w:rPr>
          <w:rStyle w:val="a7"/>
          <w:rFonts w:ascii="Times New Roman" w:hAnsi="Times New Roman" w:cs="Times New Roman"/>
          <w:sz w:val="24"/>
          <w:szCs w:val="24"/>
        </w:rPr>
        <w:footnoteReference w:id="96"/>
      </w:r>
      <w:r>
        <w:rPr>
          <w:rFonts w:ascii="Times New Roman" w:hAnsi="Times New Roman" w:cs="Times New Roman"/>
          <w:sz w:val="24"/>
          <w:szCs w:val="24"/>
        </w:rPr>
        <w:t>.</w:t>
      </w:r>
    </w:p>
    <w:p w14:paraId="378AC8F3"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Современная модель нотариата - это активность нотариата, которая не имеет ограничения в момент  возложения на нотариусов определенных функций. В рамках данной модели перед нотариусом появляется задача оказать помощь в полном объёме всем участникам гражданских правоотношений на равных условиях, у него есть компетентность по сбору всех нужных для эффективного исполнения нотариального действия документов, проверке законности всего фактического состава путем активности действий нотариусов. Значит при этом  заинтересованные лица, участвующие в данных гражданских правоотношениях освобождаются от обязанности обращения к органам государственной власти и другим участникам данных отношений</w:t>
      </w:r>
      <w:r>
        <w:rPr>
          <w:rStyle w:val="a7"/>
          <w:rFonts w:ascii="Times New Roman" w:hAnsi="Times New Roman" w:cs="Times New Roman"/>
          <w:sz w:val="24"/>
          <w:szCs w:val="24"/>
        </w:rPr>
        <w:footnoteReference w:id="97"/>
      </w:r>
      <w:r>
        <w:rPr>
          <w:rFonts w:ascii="Times New Roman" w:hAnsi="Times New Roman" w:cs="Times New Roman"/>
          <w:sz w:val="24"/>
          <w:szCs w:val="24"/>
        </w:rPr>
        <w:t>. </w:t>
      </w:r>
    </w:p>
    <w:p w14:paraId="624BE153"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Если обращаться к  малонаселенным и отдельным регионам страны, совершенным и детальным регулированием деятельности нотариусов при выполнении определенных  видов действий, требуется укрепление взаимосвязи между нормативной базой гражданского законодательства и законом, который регулирует нотариальную деятельность.</w:t>
      </w:r>
    </w:p>
    <w:p w14:paraId="14101F32"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Особое внимание можно привлечь к малоимущим гражданам. Не все лица могут иметь возможность полностью обеспечить себе достойную жизни. Исходя из сказанного, они не могут в мере осуществлять свои гражданские права. Поэтому для помощи в гражданском обороте и пользованием в полном объеме всеми нотариальными услугами во время совершении определённых гражданских действий, нужно предоставить данным лицам возможность качественно получить услуги нотариальных органов, предоставить им определенный тариф, чтобы не подрывать их ветхое материальное положение.</w:t>
      </w:r>
    </w:p>
    <w:p w14:paraId="4989862C"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конце концов, можно прийти к выводу, что нотариат в наше время обязан выступать в роли института, обладающего множеством функций в  гражданском обществе. Призыв нотариусов полностью и качественно обеспечивать охрану и защиту прав, свобод и законных интересов всех граждан Российской Федерации, субъектов Российской Федерации, а также всех муниципальных образований. Значение нового уровня нотариата даст обществу и гражданскому обороту  эффективно осуществлять все его возможности</w:t>
      </w:r>
      <w:r>
        <w:rPr>
          <w:rStyle w:val="a7"/>
          <w:rFonts w:ascii="Times New Roman" w:hAnsi="Times New Roman" w:cs="Times New Roman"/>
          <w:sz w:val="24"/>
          <w:szCs w:val="24"/>
        </w:rPr>
        <w:footnoteReference w:id="98"/>
      </w:r>
      <w:r>
        <w:rPr>
          <w:rFonts w:ascii="Times New Roman" w:hAnsi="Times New Roman" w:cs="Times New Roman"/>
          <w:sz w:val="24"/>
          <w:szCs w:val="24"/>
        </w:rPr>
        <w:t>. Все это сможет оказать результативное и качественное влияние на развитие всех сфер жизни общества, гражданские правоотношения, и на само государство в целом, так как законность и эффективность в момент совершения всех сделок и сам гражданский оборот во многом зависит от качества работы нотариальных органов.</w:t>
      </w:r>
    </w:p>
    <w:p w14:paraId="3BED2AFD" w14:textId="77777777" w:rsidR="001B6C3B" w:rsidRDefault="001B6C3B" w:rsidP="001B6C3B">
      <w:pPr>
        <w:spacing w:after="0" w:line="240" w:lineRule="auto"/>
        <w:ind w:firstLine="709"/>
        <w:jc w:val="both"/>
        <w:rPr>
          <w:rFonts w:ascii="Times New Roman" w:hAnsi="Times New Roman" w:cs="Times New Roman"/>
          <w:sz w:val="24"/>
          <w:szCs w:val="24"/>
        </w:rPr>
      </w:pPr>
    </w:p>
    <w:p w14:paraId="1497000F" w14:textId="77777777" w:rsidR="001B6C3B" w:rsidRDefault="001B6C3B" w:rsidP="001B6C3B">
      <w:pPr>
        <w:spacing w:after="0" w:line="240" w:lineRule="auto"/>
        <w:ind w:firstLine="709"/>
        <w:jc w:val="center"/>
        <w:rPr>
          <w:rFonts w:ascii="Times New Roman" w:hAnsi="Times New Roman" w:cs="Times New Roman"/>
          <w:b/>
          <w:sz w:val="24"/>
          <w:szCs w:val="24"/>
        </w:rPr>
      </w:pPr>
      <w:r>
        <w:rPr>
          <w:rFonts w:ascii="Times New Roman" w:hAnsi="Times New Roman" w:cs="Times New Roman"/>
          <w:b/>
          <w:sz w:val="24"/>
          <w:szCs w:val="24"/>
        </w:rPr>
        <w:t>Библиографический список</w:t>
      </w:r>
    </w:p>
    <w:p w14:paraId="7FE9F23F" w14:textId="77777777" w:rsidR="001B6C3B" w:rsidRDefault="001B6C3B" w:rsidP="001B6C3B">
      <w:pPr>
        <w:spacing w:after="0" w:line="240" w:lineRule="auto"/>
        <w:ind w:firstLine="709"/>
        <w:jc w:val="both"/>
        <w:rPr>
          <w:rFonts w:ascii="Times New Roman" w:hAnsi="Times New Roman" w:cs="Times New Roman"/>
        </w:rPr>
      </w:pPr>
    </w:p>
    <w:p w14:paraId="4CFF60EF"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eastAsia="Times New Roman" w:hAnsi="Times New Roman" w:cs="Times New Roman"/>
          <w:sz w:val="24"/>
          <w:szCs w:val="24"/>
          <w:lang w:eastAsia="ru-RU"/>
        </w:rPr>
        <w:t xml:space="preserve">1. </w:t>
      </w:r>
      <w:r>
        <w:rPr>
          <w:rFonts w:ascii="Times New Roman" w:hAnsi="Times New Roman" w:cs="Times New Roman"/>
          <w:sz w:val="24"/>
          <w:szCs w:val="24"/>
        </w:rPr>
        <w:t>Герасимов А. В. Органы государственной безопасности в механизме правового государства (теоретико-правовой аспект) : дис. ... канд. юрид. наук. – Краснодар, 2004. – С. 110.</w:t>
      </w:r>
    </w:p>
    <w:p w14:paraId="7C368903"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 Данилов Д. Б. Специфика процесса доказывания по делам об административных правонарушениях за незаконное использование товарного знака // Вестник Саратов. гос. юрид. академии. – 2011. – № 6. – С. 142-145.</w:t>
      </w:r>
    </w:p>
    <w:p w14:paraId="53333046"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 Елизарьев Г. Деление нотариата на го</w:t>
      </w:r>
      <w:r>
        <w:rPr>
          <w:rFonts w:ascii="Times New Roman" w:hAnsi="Times New Roman" w:cs="Times New Roman"/>
          <w:sz w:val="24"/>
          <w:szCs w:val="24"/>
        </w:rPr>
        <w:softHyphen/>
        <w:t>сударственный и частный – противоестественно // Нотариальный вестник. – 1997. – № 4.</w:t>
      </w:r>
    </w:p>
    <w:p w14:paraId="6DCFD4C1"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4. Сазонова М. И. Надо обеспечить прозрачность и эффективность нотариальной деятельности // Нотариальный вестник. – 2010. – № 1. – С. 77- 81.</w:t>
      </w:r>
    </w:p>
    <w:p w14:paraId="5921DC75" w14:textId="77777777" w:rsidR="001B6C3B" w:rsidRDefault="001B6C3B" w:rsidP="001B6C3B">
      <w:pPr>
        <w:pStyle w:val="a5"/>
        <w:ind w:firstLine="709"/>
        <w:jc w:val="both"/>
        <w:rPr>
          <w:rFonts w:ascii="Times New Roman" w:hAnsi="Times New Roman" w:cs="Times New Roman"/>
          <w:sz w:val="24"/>
          <w:szCs w:val="24"/>
        </w:rPr>
      </w:pPr>
      <w:r>
        <w:rPr>
          <w:rFonts w:ascii="Times New Roman" w:hAnsi="Times New Roman" w:cs="Times New Roman"/>
          <w:sz w:val="24"/>
          <w:szCs w:val="24"/>
        </w:rPr>
        <w:t>5. Туманова Л. В., Амаглобели Н. Д. Гражданский процесс : учеб. – М.: ЮНИТИ-ДАНА, 2012. – С. 134.</w:t>
      </w:r>
    </w:p>
    <w:p w14:paraId="03136786"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6. Черемных И. Г. Российский нотариат : прошлое, настоящее, буду</w:t>
      </w:r>
      <w:r>
        <w:rPr>
          <w:rFonts w:ascii="Times New Roman" w:hAnsi="Times New Roman" w:cs="Times New Roman"/>
          <w:sz w:val="24"/>
          <w:szCs w:val="24"/>
        </w:rPr>
        <w:softHyphen/>
        <w:t>щее. – М.: ОКТБ, 1999. – С. 99-101.</w:t>
      </w:r>
    </w:p>
    <w:p w14:paraId="1A772C31" w14:textId="77777777" w:rsidR="001B6C3B" w:rsidRDefault="001B6C3B" w:rsidP="001B6C3B">
      <w:pPr>
        <w:spacing w:after="0" w:line="240" w:lineRule="auto"/>
        <w:ind w:firstLine="709"/>
        <w:jc w:val="both"/>
        <w:rPr>
          <w:rFonts w:ascii="Times New Roman" w:hAnsi="Times New Roman" w:cs="Times New Roman"/>
          <w:sz w:val="24"/>
          <w:szCs w:val="24"/>
        </w:rPr>
      </w:pPr>
    </w:p>
    <w:p w14:paraId="68E7033B" w14:textId="77777777" w:rsidR="001B6C3B" w:rsidRDefault="001B6C3B" w:rsidP="001B6C3B">
      <w:pPr>
        <w:spacing w:after="0" w:line="240" w:lineRule="auto"/>
        <w:ind w:firstLine="709"/>
        <w:jc w:val="both"/>
        <w:rPr>
          <w:rFonts w:ascii="Times New Roman" w:hAnsi="Times New Roman" w:cs="Times New Roman"/>
          <w:sz w:val="24"/>
          <w:szCs w:val="24"/>
        </w:rPr>
      </w:pPr>
    </w:p>
    <w:p w14:paraId="0173DE75" w14:textId="77777777" w:rsidR="001B6C3B" w:rsidRDefault="001B6C3B" w:rsidP="001B6C3B">
      <w:pPr>
        <w:pStyle w:val="a8"/>
        <w:ind w:firstLine="709"/>
        <w:jc w:val="both"/>
        <w:rPr>
          <w:rFonts w:ascii="Times New Roman" w:hAnsi="Times New Roman" w:cs="Times New Roman"/>
          <w:sz w:val="24"/>
          <w:szCs w:val="24"/>
        </w:rPr>
      </w:pPr>
      <w:r>
        <w:rPr>
          <w:rFonts w:ascii="Times New Roman" w:hAnsi="Times New Roman" w:cs="Times New Roman"/>
          <w:sz w:val="24"/>
          <w:szCs w:val="24"/>
        </w:rPr>
        <w:t>.</w:t>
      </w:r>
    </w:p>
    <w:p w14:paraId="5529D0D2" w14:textId="77777777" w:rsidR="001B6C3B" w:rsidRDefault="001B6C3B" w:rsidP="001B6C3B">
      <w:pPr>
        <w:spacing w:after="0" w:line="240" w:lineRule="auto"/>
        <w:rPr>
          <w:rFonts w:ascii="Times New Roman" w:eastAsiaTheme="minorEastAsia" w:hAnsi="Times New Roman" w:cs="Times New Roman"/>
          <w:sz w:val="24"/>
          <w:szCs w:val="24"/>
          <w:lang w:eastAsia="ru-RU"/>
        </w:rPr>
        <w:sectPr w:rsidR="001B6C3B">
          <w:footnotePr>
            <w:numRestart w:val="eachPage"/>
          </w:footnotePr>
          <w:pgSz w:w="11906" w:h="16838"/>
          <w:pgMar w:top="1134" w:right="1134" w:bottom="1134" w:left="1134" w:header="709" w:footer="709" w:gutter="0"/>
          <w:cols w:space="720"/>
        </w:sectPr>
      </w:pPr>
    </w:p>
    <w:p w14:paraId="0B99A010" w14:textId="77777777" w:rsidR="001B6C3B" w:rsidRDefault="001B6C3B" w:rsidP="001B6C3B">
      <w:pPr>
        <w:spacing w:after="0" w:line="240" w:lineRule="auto"/>
        <w:ind w:left="284" w:firstLine="4395"/>
        <w:contextualSpacing/>
        <w:jc w:val="right"/>
        <w:rPr>
          <w:rFonts w:ascii="Times New Roman" w:hAnsi="Times New Roman" w:cs="Times New Roman"/>
          <w:b/>
          <w:sz w:val="24"/>
          <w:szCs w:val="20"/>
        </w:rPr>
      </w:pPr>
      <w:r>
        <w:rPr>
          <w:rFonts w:ascii="Times New Roman" w:hAnsi="Times New Roman" w:cs="Times New Roman"/>
          <w:b/>
          <w:sz w:val="24"/>
          <w:szCs w:val="20"/>
        </w:rPr>
        <w:lastRenderedPageBreak/>
        <w:t>УДК 341.9.018</w:t>
      </w:r>
    </w:p>
    <w:p w14:paraId="1F9E2D27" w14:textId="77777777" w:rsidR="001B6C3B" w:rsidRDefault="001B6C3B" w:rsidP="001B6C3B">
      <w:pPr>
        <w:spacing w:after="0" w:line="240" w:lineRule="auto"/>
        <w:ind w:left="284" w:firstLine="4395"/>
        <w:contextualSpacing/>
        <w:jc w:val="right"/>
        <w:rPr>
          <w:rFonts w:ascii="Times New Roman" w:hAnsi="Times New Roman" w:cs="Times New Roman"/>
          <w:b/>
          <w:sz w:val="24"/>
          <w:szCs w:val="20"/>
        </w:rPr>
      </w:pPr>
    </w:p>
    <w:p w14:paraId="1236F282" w14:textId="77777777" w:rsidR="001B6C3B" w:rsidRDefault="001B6C3B" w:rsidP="001B6C3B">
      <w:pPr>
        <w:spacing w:after="0" w:line="240" w:lineRule="auto"/>
        <w:ind w:left="284" w:firstLine="4395"/>
        <w:contextualSpacing/>
        <w:jc w:val="right"/>
        <w:rPr>
          <w:rFonts w:ascii="Times New Roman" w:hAnsi="Times New Roman" w:cs="Times New Roman"/>
          <w:b/>
          <w:sz w:val="24"/>
          <w:szCs w:val="20"/>
        </w:rPr>
      </w:pPr>
      <w:r>
        <w:rPr>
          <w:rFonts w:ascii="Times New Roman" w:hAnsi="Times New Roman" w:cs="Times New Roman"/>
          <w:b/>
          <w:sz w:val="24"/>
          <w:szCs w:val="20"/>
        </w:rPr>
        <w:t>Виноградов Даниил Алексеевич</w:t>
      </w:r>
    </w:p>
    <w:p w14:paraId="610227B0" w14:textId="77777777" w:rsidR="001B6C3B" w:rsidRDefault="001B6C3B" w:rsidP="001B6C3B">
      <w:pPr>
        <w:spacing w:after="0" w:line="240" w:lineRule="auto"/>
        <w:ind w:left="284" w:firstLine="4395"/>
        <w:contextualSpacing/>
        <w:jc w:val="right"/>
        <w:rPr>
          <w:rFonts w:ascii="Times New Roman" w:hAnsi="Times New Roman" w:cs="Times New Roman"/>
          <w:b/>
          <w:sz w:val="24"/>
          <w:szCs w:val="20"/>
        </w:rPr>
      </w:pPr>
      <w:r>
        <w:rPr>
          <w:rFonts w:ascii="Times New Roman" w:hAnsi="Times New Roman" w:cs="Times New Roman"/>
          <w:b/>
          <w:sz w:val="24"/>
          <w:szCs w:val="20"/>
          <w:lang w:val="en-US"/>
        </w:rPr>
        <w:t>Vinogradov</w:t>
      </w:r>
      <w:r w:rsidRPr="00430C1C">
        <w:rPr>
          <w:rFonts w:ascii="Times New Roman" w:hAnsi="Times New Roman" w:cs="Times New Roman"/>
          <w:b/>
          <w:sz w:val="24"/>
          <w:szCs w:val="20"/>
        </w:rPr>
        <w:t xml:space="preserve"> </w:t>
      </w:r>
      <w:r>
        <w:rPr>
          <w:rFonts w:ascii="Times New Roman" w:hAnsi="Times New Roman" w:cs="Times New Roman"/>
          <w:b/>
          <w:sz w:val="24"/>
          <w:szCs w:val="20"/>
          <w:lang w:val="en-US"/>
        </w:rPr>
        <w:t>Daniil</w:t>
      </w:r>
      <w:r w:rsidRPr="00430C1C">
        <w:rPr>
          <w:rFonts w:ascii="Times New Roman" w:hAnsi="Times New Roman" w:cs="Times New Roman"/>
          <w:b/>
          <w:sz w:val="24"/>
          <w:szCs w:val="20"/>
        </w:rPr>
        <w:t xml:space="preserve"> </w:t>
      </w:r>
      <w:r>
        <w:rPr>
          <w:rFonts w:ascii="Times New Roman" w:hAnsi="Times New Roman" w:cs="Times New Roman"/>
          <w:b/>
          <w:sz w:val="24"/>
          <w:szCs w:val="20"/>
          <w:lang w:val="en-US"/>
        </w:rPr>
        <w:t>Alekseevich</w:t>
      </w:r>
    </w:p>
    <w:p w14:paraId="2AB96933" w14:textId="77777777" w:rsidR="001B6C3B" w:rsidRDefault="001B6C3B" w:rsidP="001B6C3B">
      <w:pPr>
        <w:spacing w:after="0" w:line="240" w:lineRule="auto"/>
        <w:ind w:left="284" w:firstLine="4395"/>
        <w:contextualSpacing/>
        <w:jc w:val="right"/>
        <w:rPr>
          <w:rFonts w:ascii="Times New Roman" w:hAnsi="Times New Roman" w:cs="Times New Roman"/>
          <w:sz w:val="24"/>
          <w:szCs w:val="20"/>
        </w:rPr>
      </w:pPr>
      <w:r>
        <w:rPr>
          <w:rFonts w:ascii="Times New Roman" w:hAnsi="Times New Roman" w:cs="Times New Roman"/>
          <w:sz w:val="24"/>
          <w:szCs w:val="20"/>
        </w:rPr>
        <w:t>Федеральное государственное бюджетное образовательное учреждение</w:t>
      </w:r>
    </w:p>
    <w:p w14:paraId="26059056" w14:textId="77777777" w:rsidR="001B6C3B" w:rsidRDefault="001B6C3B" w:rsidP="001B6C3B">
      <w:pPr>
        <w:spacing w:after="0" w:line="240" w:lineRule="auto"/>
        <w:ind w:left="284" w:firstLine="4395"/>
        <w:contextualSpacing/>
        <w:jc w:val="right"/>
        <w:rPr>
          <w:rFonts w:ascii="Times New Roman" w:hAnsi="Times New Roman" w:cs="Times New Roman"/>
          <w:sz w:val="24"/>
          <w:szCs w:val="20"/>
        </w:rPr>
      </w:pPr>
      <w:r>
        <w:rPr>
          <w:rFonts w:ascii="Times New Roman" w:hAnsi="Times New Roman" w:cs="Times New Roman"/>
          <w:sz w:val="24"/>
          <w:szCs w:val="20"/>
        </w:rPr>
        <w:t>высшего образования</w:t>
      </w:r>
    </w:p>
    <w:p w14:paraId="3E7EFFAB" w14:textId="77777777" w:rsidR="001B6C3B" w:rsidRDefault="001B6C3B" w:rsidP="001B6C3B">
      <w:pPr>
        <w:spacing w:after="0" w:line="240" w:lineRule="auto"/>
        <w:ind w:left="284" w:firstLine="4395"/>
        <w:contextualSpacing/>
        <w:jc w:val="right"/>
        <w:rPr>
          <w:rFonts w:ascii="Times New Roman" w:hAnsi="Times New Roman" w:cs="Times New Roman"/>
          <w:sz w:val="24"/>
          <w:szCs w:val="20"/>
        </w:rPr>
      </w:pPr>
      <w:r>
        <w:rPr>
          <w:rFonts w:ascii="Times New Roman" w:hAnsi="Times New Roman" w:cs="Times New Roman"/>
          <w:sz w:val="24"/>
          <w:szCs w:val="20"/>
        </w:rPr>
        <w:t>«Кубанский государственный аграрный университет имени И.Т. Трубилина»</w:t>
      </w:r>
    </w:p>
    <w:p w14:paraId="29232774" w14:textId="77777777" w:rsidR="001B6C3B" w:rsidRDefault="001B6C3B" w:rsidP="001B6C3B">
      <w:pPr>
        <w:spacing w:after="0" w:line="240" w:lineRule="auto"/>
        <w:ind w:left="284" w:firstLine="4395"/>
        <w:contextualSpacing/>
        <w:jc w:val="right"/>
        <w:rPr>
          <w:rFonts w:ascii="Times New Roman" w:hAnsi="Times New Roman" w:cs="Times New Roman"/>
          <w:sz w:val="24"/>
          <w:szCs w:val="20"/>
          <w:lang w:val="en-US"/>
        </w:rPr>
      </w:pPr>
      <w:r>
        <w:rPr>
          <w:rFonts w:ascii="Times New Roman" w:hAnsi="Times New Roman" w:cs="Times New Roman"/>
          <w:sz w:val="24"/>
          <w:szCs w:val="20"/>
          <w:lang w:val="en-US"/>
        </w:rPr>
        <w:t>Federal State Budgetary Educational Institution of Higher Education</w:t>
      </w:r>
    </w:p>
    <w:p w14:paraId="44AD48EF" w14:textId="77777777" w:rsidR="001B6C3B" w:rsidRDefault="001B6C3B" w:rsidP="001B6C3B">
      <w:pPr>
        <w:spacing w:after="0" w:line="240" w:lineRule="auto"/>
        <w:ind w:left="284" w:firstLine="4395"/>
        <w:contextualSpacing/>
        <w:jc w:val="right"/>
        <w:rPr>
          <w:rFonts w:ascii="Times New Roman" w:hAnsi="Times New Roman" w:cs="Times New Roman"/>
          <w:sz w:val="24"/>
          <w:szCs w:val="20"/>
          <w:lang w:val="en-US"/>
        </w:rPr>
      </w:pPr>
      <w:r>
        <w:rPr>
          <w:rFonts w:ascii="Times New Roman" w:hAnsi="Times New Roman" w:cs="Times New Roman"/>
          <w:sz w:val="24"/>
          <w:szCs w:val="20"/>
          <w:lang w:val="en-US"/>
        </w:rPr>
        <w:t>«Kuban State Agrarian University named after I.T. Trubilin»</w:t>
      </w:r>
    </w:p>
    <w:p w14:paraId="46D3D0B7" w14:textId="77777777" w:rsidR="001B6C3B" w:rsidRDefault="001B6C3B" w:rsidP="001B6C3B">
      <w:pPr>
        <w:spacing w:after="0" w:line="240" w:lineRule="auto"/>
        <w:ind w:left="284" w:firstLine="4395"/>
        <w:contextualSpacing/>
        <w:jc w:val="right"/>
        <w:rPr>
          <w:rFonts w:ascii="Times New Roman" w:hAnsi="Times New Roman" w:cs="Times New Roman"/>
          <w:sz w:val="24"/>
          <w:szCs w:val="20"/>
        </w:rPr>
      </w:pPr>
      <w:r>
        <w:rPr>
          <w:rFonts w:ascii="Times New Roman" w:hAnsi="Times New Roman" w:cs="Times New Roman"/>
          <w:sz w:val="24"/>
          <w:szCs w:val="20"/>
        </w:rPr>
        <w:t>Российская Федерация, Краснодар</w:t>
      </w:r>
    </w:p>
    <w:p w14:paraId="46FAD8CB" w14:textId="77777777" w:rsidR="001B6C3B" w:rsidRDefault="001B6C3B" w:rsidP="001B6C3B">
      <w:pPr>
        <w:spacing w:after="0" w:line="240" w:lineRule="auto"/>
        <w:ind w:left="284" w:firstLine="4395"/>
        <w:contextualSpacing/>
        <w:jc w:val="right"/>
        <w:rPr>
          <w:rFonts w:ascii="Times New Roman" w:hAnsi="Times New Roman" w:cs="Times New Roman"/>
          <w:sz w:val="24"/>
          <w:szCs w:val="20"/>
        </w:rPr>
      </w:pPr>
      <w:r>
        <w:rPr>
          <w:rFonts w:ascii="Times New Roman" w:hAnsi="Times New Roman" w:cs="Times New Roman"/>
          <w:sz w:val="24"/>
          <w:szCs w:val="20"/>
          <w:lang w:val="en-US"/>
        </w:rPr>
        <w:t>Russian</w:t>
      </w:r>
      <w:r w:rsidRPr="00430C1C">
        <w:rPr>
          <w:rFonts w:ascii="Times New Roman" w:hAnsi="Times New Roman" w:cs="Times New Roman"/>
          <w:sz w:val="24"/>
          <w:szCs w:val="20"/>
        </w:rPr>
        <w:t xml:space="preserve"> </w:t>
      </w:r>
      <w:r>
        <w:rPr>
          <w:rFonts w:ascii="Times New Roman" w:hAnsi="Times New Roman" w:cs="Times New Roman"/>
          <w:sz w:val="24"/>
          <w:szCs w:val="20"/>
          <w:lang w:val="en-US"/>
        </w:rPr>
        <w:t>Federation</w:t>
      </w:r>
      <w:r>
        <w:rPr>
          <w:rFonts w:ascii="Times New Roman" w:hAnsi="Times New Roman" w:cs="Times New Roman"/>
          <w:sz w:val="24"/>
          <w:szCs w:val="20"/>
        </w:rPr>
        <w:t xml:space="preserve">, </w:t>
      </w:r>
      <w:r>
        <w:rPr>
          <w:rFonts w:ascii="Times New Roman" w:hAnsi="Times New Roman" w:cs="Times New Roman"/>
          <w:sz w:val="24"/>
          <w:szCs w:val="20"/>
          <w:lang w:val="en-US"/>
        </w:rPr>
        <w:t>Krasnodar</w:t>
      </w:r>
    </w:p>
    <w:p w14:paraId="205BB532" w14:textId="77777777" w:rsidR="001B6C3B" w:rsidRDefault="001B6C3B" w:rsidP="001B6C3B">
      <w:pPr>
        <w:spacing w:after="0" w:line="240" w:lineRule="auto"/>
        <w:ind w:left="284" w:firstLine="4395"/>
        <w:contextualSpacing/>
        <w:jc w:val="right"/>
        <w:rPr>
          <w:rFonts w:ascii="Times New Roman" w:hAnsi="Times New Roman" w:cs="Times New Roman"/>
          <w:sz w:val="24"/>
          <w:szCs w:val="20"/>
        </w:rPr>
      </w:pPr>
      <w:r>
        <w:rPr>
          <w:rFonts w:ascii="Times New Roman" w:hAnsi="Times New Roman" w:cs="Times New Roman"/>
          <w:sz w:val="24"/>
          <w:szCs w:val="20"/>
          <w:lang w:val="en-US"/>
        </w:rPr>
        <w:t>Vinograd</w:t>
      </w:r>
      <w:r>
        <w:rPr>
          <w:rFonts w:ascii="Times New Roman" w:hAnsi="Times New Roman" w:cs="Times New Roman"/>
          <w:sz w:val="24"/>
          <w:szCs w:val="20"/>
        </w:rPr>
        <w:t>_</w:t>
      </w:r>
      <w:r>
        <w:rPr>
          <w:rFonts w:ascii="Times New Roman" w:hAnsi="Times New Roman" w:cs="Times New Roman"/>
          <w:sz w:val="24"/>
          <w:szCs w:val="20"/>
          <w:lang w:val="en-US"/>
        </w:rPr>
        <w:t>poltava</w:t>
      </w:r>
      <w:r>
        <w:rPr>
          <w:rFonts w:ascii="Times New Roman" w:hAnsi="Times New Roman" w:cs="Times New Roman"/>
          <w:sz w:val="24"/>
          <w:szCs w:val="20"/>
        </w:rPr>
        <w:t>@</w:t>
      </w:r>
      <w:r>
        <w:rPr>
          <w:rFonts w:ascii="Times New Roman" w:hAnsi="Times New Roman" w:cs="Times New Roman"/>
          <w:sz w:val="24"/>
          <w:szCs w:val="20"/>
          <w:lang w:val="en-US"/>
        </w:rPr>
        <w:t>mail</w:t>
      </w:r>
      <w:r>
        <w:rPr>
          <w:rFonts w:ascii="Times New Roman" w:hAnsi="Times New Roman" w:cs="Times New Roman"/>
          <w:sz w:val="24"/>
          <w:szCs w:val="20"/>
        </w:rPr>
        <w:t>.</w:t>
      </w:r>
      <w:r>
        <w:rPr>
          <w:rFonts w:ascii="Times New Roman" w:hAnsi="Times New Roman" w:cs="Times New Roman"/>
          <w:sz w:val="24"/>
          <w:szCs w:val="20"/>
          <w:lang w:val="en-US"/>
        </w:rPr>
        <w:t>ru</w:t>
      </w:r>
    </w:p>
    <w:p w14:paraId="794303A5" w14:textId="77777777" w:rsidR="001B6C3B" w:rsidRDefault="001B6C3B" w:rsidP="001B6C3B">
      <w:pPr>
        <w:spacing w:after="0" w:line="240" w:lineRule="auto"/>
        <w:ind w:left="284" w:firstLine="4395"/>
        <w:contextualSpacing/>
        <w:jc w:val="right"/>
        <w:rPr>
          <w:rFonts w:ascii="Times New Roman" w:hAnsi="Times New Roman" w:cs="Times New Roman"/>
          <w:sz w:val="24"/>
          <w:szCs w:val="20"/>
        </w:rPr>
      </w:pPr>
    </w:p>
    <w:p w14:paraId="1AEFD1E5" w14:textId="77777777" w:rsidR="001B6C3B" w:rsidRDefault="001B6C3B" w:rsidP="001B6C3B">
      <w:pPr>
        <w:spacing w:after="0" w:line="240" w:lineRule="auto"/>
        <w:ind w:left="284" w:firstLine="4395"/>
        <w:contextualSpacing/>
        <w:jc w:val="right"/>
        <w:rPr>
          <w:rFonts w:ascii="Times New Roman" w:hAnsi="Times New Roman" w:cs="Times New Roman"/>
          <w:sz w:val="28"/>
        </w:rPr>
      </w:pPr>
    </w:p>
    <w:p w14:paraId="7D5408E4" w14:textId="77777777" w:rsidR="001B6C3B" w:rsidRDefault="001B6C3B" w:rsidP="001B6C3B">
      <w:pPr>
        <w:spacing w:after="0" w:line="240" w:lineRule="auto"/>
        <w:ind w:left="284"/>
        <w:contextualSpacing/>
        <w:jc w:val="center"/>
        <w:rPr>
          <w:rFonts w:ascii="Times New Roman" w:hAnsi="Times New Roman" w:cs="Times New Roman"/>
          <w:b/>
          <w:sz w:val="28"/>
        </w:rPr>
      </w:pPr>
      <w:r>
        <w:rPr>
          <w:rFonts w:ascii="Times New Roman" w:hAnsi="Times New Roman" w:cs="Times New Roman"/>
          <w:b/>
          <w:sz w:val="28"/>
        </w:rPr>
        <w:t>ПРАВОВОЕ РЕГУЛИРОВАНИЕ МЕЖДУНАРОДНОЙ МОРСКОЙ ПЕРЕВОЗКИ ПАССАЖИРОВ И БАГАЖА</w:t>
      </w:r>
    </w:p>
    <w:p w14:paraId="1BE616B4" w14:textId="77777777" w:rsidR="001B6C3B" w:rsidRDefault="001B6C3B" w:rsidP="001B6C3B">
      <w:pPr>
        <w:spacing w:after="0" w:line="240" w:lineRule="auto"/>
        <w:ind w:firstLine="709"/>
        <w:contextualSpacing/>
        <w:jc w:val="both"/>
        <w:rPr>
          <w:rFonts w:ascii="Times New Roman" w:hAnsi="Times New Roman" w:cs="Times New Roman"/>
          <w:sz w:val="24"/>
        </w:rPr>
      </w:pPr>
    </w:p>
    <w:p w14:paraId="6501C53D" w14:textId="77777777" w:rsidR="001B6C3B" w:rsidRDefault="001B6C3B" w:rsidP="001B6C3B">
      <w:pPr>
        <w:spacing w:after="0" w:line="240" w:lineRule="auto"/>
        <w:ind w:firstLine="709"/>
        <w:contextualSpacing/>
        <w:jc w:val="center"/>
        <w:rPr>
          <w:rFonts w:ascii="Times New Roman" w:hAnsi="Times New Roman" w:cs="Times New Roman"/>
          <w:b/>
          <w:sz w:val="28"/>
          <w:lang w:val="en-US"/>
        </w:rPr>
      </w:pPr>
      <w:r>
        <w:rPr>
          <w:rFonts w:ascii="Times New Roman" w:hAnsi="Times New Roman" w:cs="Times New Roman"/>
          <w:b/>
          <w:sz w:val="28"/>
          <w:lang w:val="en-US"/>
        </w:rPr>
        <w:t>LEGAL REGULATION OF INTERNATIONAL SEA TRANSPORTATION OF PASSENGERS AND BAGGAGE</w:t>
      </w:r>
    </w:p>
    <w:p w14:paraId="0FF8AACD" w14:textId="77777777" w:rsidR="001B6C3B" w:rsidRDefault="001B6C3B" w:rsidP="001B6C3B">
      <w:pPr>
        <w:spacing w:after="0" w:line="240" w:lineRule="auto"/>
        <w:ind w:firstLine="709"/>
        <w:contextualSpacing/>
        <w:jc w:val="center"/>
        <w:rPr>
          <w:rFonts w:ascii="Times New Roman" w:hAnsi="Times New Roman" w:cs="Times New Roman"/>
          <w:b/>
          <w:sz w:val="28"/>
          <w:lang w:val="en-US"/>
        </w:rPr>
      </w:pPr>
    </w:p>
    <w:p w14:paraId="51BD34B1" w14:textId="77777777" w:rsidR="001B6C3B" w:rsidRDefault="001B6C3B" w:rsidP="001B6C3B">
      <w:pPr>
        <w:spacing w:after="0" w:line="240" w:lineRule="auto"/>
        <w:ind w:firstLine="709"/>
        <w:contextualSpacing/>
        <w:jc w:val="both"/>
        <w:rPr>
          <w:rFonts w:ascii="Times New Roman" w:hAnsi="Times New Roman" w:cs="Times New Roman"/>
          <w:sz w:val="24"/>
        </w:rPr>
      </w:pPr>
      <w:r>
        <w:rPr>
          <w:rFonts w:ascii="Times New Roman" w:hAnsi="Times New Roman" w:cs="Times New Roman"/>
          <w:i/>
          <w:sz w:val="24"/>
        </w:rPr>
        <w:t>Аннотация:</w:t>
      </w:r>
      <w:r>
        <w:rPr>
          <w:rFonts w:ascii="Times New Roman" w:hAnsi="Times New Roman" w:cs="Times New Roman"/>
          <w:sz w:val="24"/>
        </w:rPr>
        <w:t xml:space="preserve"> в научной статье автор исследует вопросы ответственности морского перевозчика путем сравнительного анализа положений Кодекса торгового мореплавания РФ и Афинской конвенции о перевозке морем пассажиров и багажа 1974 г. (в ред. Протокола от 1 ноября 2002 г.). Сделан вывод о необходимости приведения в соответствие национального законодательства положениям международных договоров.</w:t>
      </w:r>
    </w:p>
    <w:p w14:paraId="629B494F" w14:textId="77777777" w:rsidR="001B6C3B" w:rsidRDefault="001B6C3B" w:rsidP="001B6C3B">
      <w:pPr>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i/>
          <w:sz w:val="24"/>
        </w:rPr>
        <w:t>Ключевые слова</w:t>
      </w:r>
      <w:r>
        <w:rPr>
          <w:rFonts w:ascii="Times New Roman" w:hAnsi="Times New Roman" w:cs="Times New Roman"/>
          <w:i/>
          <w:sz w:val="24"/>
          <w:szCs w:val="24"/>
        </w:rPr>
        <w:t>:</w:t>
      </w:r>
      <w:r>
        <w:rPr>
          <w:rFonts w:ascii="Times New Roman" w:hAnsi="Times New Roman" w:cs="Times New Roman"/>
          <w:sz w:val="24"/>
          <w:szCs w:val="24"/>
        </w:rPr>
        <w:t xml:space="preserve"> международные морские перевозки пассажиров и багажа, морской перевозчик, унификация, международный договор, ущерб, ответственность.</w:t>
      </w:r>
    </w:p>
    <w:p w14:paraId="7A5841D3" w14:textId="77777777" w:rsidR="001B6C3B" w:rsidRDefault="001B6C3B" w:rsidP="001B6C3B">
      <w:pPr>
        <w:spacing w:after="0" w:line="240" w:lineRule="auto"/>
        <w:ind w:firstLine="709"/>
        <w:contextualSpacing/>
        <w:jc w:val="both"/>
        <w:rPr>
          <w:rFonts w:ascii="Times New Roman" w:hAnsi="Times New Roman" w:cs="Times New Roman"/>
          <w:sz w:val="24"/>
          <w:szCs w:val="24"/>
          <w:lang w:val="en-US"/>
        </w:rPr>
      </w:pPr>
      <w:r>
        <w:rPr>
          <w:rFonts w:ascii="Times New Roman" w:hAnsi="Times New Roman" w:cs="Times New Roman"/>
          <w:i/>
          <w:sz w:val="24"/>
          <w:szCs w:val="24"/>
          <w:lang w:val="en-US"/>
        </w:rPr>
        <w:t>Abstract:</w:t>
      </w:r>
      <w:r>
        <w:rPr>
          <w:rFonts w:ascii="Times New Roman" w:hAnsi="Times New Roman" w:cs="Times New Roman"/>
          <w:sz w:val="24"/>
          <w:szCs w:val="24"/>
          <w:lang w:val="en-US"/>
        </w:rPr>
        <w:t xml:space="preserve"> in the scientific article, the author examines the issues of liability of the sea carrier by comparing the provisions of the code of commercial navigation of the Russian Federation and the Athens Convention on the carriage of passengers and baggage by sea in 1974. (as amended by Protocol of November 1, 2002). it was concluded that national legislation should be brought into line with the provisions of international treaties.</w:t>
      </w:r>
    </w:p>
    <w:p w14:paraId="26E22B99" w14:textId="77777777" w:rsidR="001B6C3B" w:rsidRDefault="001B6C3B" w:rsidP="001B6C3B">
      <w:pPr>
        <w:spacing w:after="0" w:line="240" w:lineRule="auto"/>
        <w:ind w:firstLine="709"/>
        <w:contextualSpacing/>
        <w:jc w:val="both"/>
        <w:rPr>
          <w:rFonts w:ascii="Times New Roman" w:hAnsi="Times New Roman" w:cs="Times New Roman"/>
          <w:sz w:val="24"/>
          <w:lang w:val="en-US"/>
        </w:rPr>
      </w:pPr>
      <w:r>
        <w:rPr>
          <w:rFonts w:ascii="Times New Roman" w:hAnsi="Times New Roman" w:cs="Times New Roman"/>
          <w:i/>
          <w:sz w:val="24"/>
          <w:lang w:val="en-US"/>
        </w:rPr>
        <w:t>Keywords:</w:t>
      </w:r>
      <w:r>
        <w:rPr>
          <w:rFonts w:ascii="Times New Roman" w:hAnsi="Times New Roman" w:cs="Times New Roman"/>
          <w:sz w:val="24"/>
          <w:lang w:val="en-US"/>
        </w:rPr>
        <w:t xml:space="preserve"> international sea transportation of passengers and baggage, sea carrier, unification, international agreement, damage, liability.</w:t>
      </w:r>
    </w:p>
    <w:p w14:paraId="4DAF4E72" w14:textId="77777777" w:rsidR="001B6C3B" w:rsidRDefault="001B6C3B" w:rsidP="001B6C3B">
      <w:pPr>
        <w:spacing w:after="0" w:line="240" w:lineRule="auto"/>
        <w:ind w:firstLine="709"/>
        <w:contextualSpacing/>
        <w:jc w:val="both"/>
        <w:rPr>
          <w:rFonts w:ascii="Times New Roman" w:hAnsi="Times New Roman" w:cs="Times New Roman"/>
          <w:sz w:val="24"/>
          <w:lang w:val="en-US"/>
        </w:rPr>
      </w:pPr>
    </w:p>
    <w:p w14:paraId="5961384A" w14:textId="77777777" w:rsidR="001B6C3B" w:rsidRDefault="001B6C3B" w:rsidP="001B6C3B">
      <w:pPr>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rPr>
        <w:t xml:space="preserve">На современном этапе развития международных отношений между странами, все большее значение играют транспортные перевозки, в число которых входит  международная морская перевозка пассажиров и багажа. Специалисты со всего мира сосредоточились на разработке международных правовых актов, направленных на урегулирование указанных отношений. Результатом такой работы стали международные договоры, разработанные в 70-х годах прошлого столетия. </w:t>
      </w:r>
      <w:r>
        <w:rPr>
          <w:rFonts w:ascii="Times New Roman" w:hAnsi="Times New Roman" w:cs="Times New Roman"/>
          <w:sz w:val="24"/>
          <w:szCs w:val="24"/>
          <w:shd w:val="clear" w:color="auto" w:fill="FFFFFF"/>
        </w:rPr>
        <w:t>Конец двадцатого и начало двадцать первого века в России ознаменовались масштабными реформами и глубокими преобразованиями, в ходе которых в общественно-экономические отношения возвращаются общемировые ценности [1].</w:t>
      </w:r>
      <w:r>
        <w:rPr>
          <w:rFonts w:ascii="Times New Roman" w:hAnsi="Times New Roman" w:cs="Times New Roman"/>
          <w:sz w:val="24"/>
          <w:szCs w:val="24"/>
        </w:rPr>
        <w:t xml:space="preserve"> </w:t>
      </w:r>
      <w:r>
        <w:rPr>
          <w:rFonts w:ascii="Times New Roman" w:hAnsi="Times New Roman" w:cs="Times New Roman"/>
          <w:sz w:val="24"/>
        </w:rPr>
        <w:t xml:space="preserve">Стоит заметить, что принятие данных международных соглашений не дало того результата, на который рассчитывали правоведы. Ученые объясняют незаинтересованность в данных актах странами тем, что их разработка велась в разное время и к тому же каждая из Конвенций была направлена на какую-то определенную сферу общественных отношений. Это еще раз </w:t>
      </w:r>
      <w:r>
        <w:rPr>
          <w:rFonts w:ascii="Times New Roman" w:hAnsi="Times New Roman" w:cs="Times New Roman"/>
          <w:sz w:val="24"/>
        </w:rPr>
        <w:lastRenderedPageBreak/>
        <w:t xml:space="preserve">подчеркивается статистическими данными. Так, Конвенцию «Об унификации некоторых правил о перевозке пассажиров морем» от 1961 года подписало только около 10-ти стран, а Конвенция «Об унификации некоторых правил, относящихся к перевозке багажа пассажиров морем» от 1967 года и вовсе не вступила в законную силу. </w:t>
      </w:r>
    </w:p>
    <w:p w14:paraId="01B956AA" w14:textId="77777777" w:rsidR="001B6C3B" w:rsidRDefault="001B6C3B" w:rsidP="001B6C3B">
      <w:pPr>
        <w:spacing w:after="0" w:line="240" w:lineRule="auto"/>
        <w:ind w:firstLine="709"/>
        <w:contextualSpacing/>
        <w:jc w:val="both"/>
        <w:rPr>
          <w:rFonts w:ascii="Times New Roman" w:hAnsi="Times New Roman" w:cs="Times New Roman"/>
          <w:sz w:val="24"/>
        </w:rPr>
      </w:pPr>
      <w:r>
        <w:rPr>
          <w:rFonts w:ascii="Times New Roman" w:hAnsi="Times New Roman" w:cs="Times New Roman"/>
          <w:sz w:val="24"/>
        </w:rPr>
        <w:t>Немногим позже, а именно в 1974 году, была принята Афинская Конвенция «О перевозке морем пассажиров и багажа», которая включала в себя положения двух предыдущих Конвенций. В 1976-ом, 1990-ом и 2002-ом годах были приняты Протоколы к данной Конвенции, которые так или иначе совершенствовали положения международного договора. Афинская конвенция предусматривала возможность присоединения государств к любой из ее редакций, либо присоединение к ней в первоначальном виде. Сами протоколы, конечно, различаются по своему содержанию, так Протоколы от 1976 года и 1990 года редактировали положения об ответственности морского перевозчика, а Протокол от 2002 года и вовсе был предрасположен к изменению практически всех положений Конвенции, настраивая правоприменителей на более современное регулирование рассматриваемых правоотношений [4].</w:t>
      </w:r>
    </w:p>
    <w:p w14:paraId="3E3E5AD3" w14:textId="77777777" w:rsidR="001B6C3B" w:rsidRDefault="001B6C3B" w:rsidP="001B6C3B">
      <w:pPr>
        <w:spacing w:after="0" w:line="240" w:lineRule="auto"/>
        <w:ind w:firstLine="709"/>
        <w:contextualSpacing/>
        <w:jc w:val="both"/>
        <w:rPr>
          <w:rFonts w:ascii="Times New Roman" w:hAnsi="Times New Roman" w:cs="Times New Roman"/>
          <w:sz w:val="24"/>
        </w:rPr>
      </w:pPr>
      <w:r>
        <w:rPr>
          <w:rFonts w:ascii="Times New Roman" w:hAnsi="Times New Roman" w:cs="Times New Roman"/>
          <w:sz w:val="24"/>
        </w:rPr>
        <w:t xml:space="preserve">Российская Федерация является участником Конвенции «О перевозке морем пассажиров и багажа» от 1974 года, в редакции Протокола 2002 года. Проведя анализ норм Кодекса торгового мореплавания РФ, отметим сходство с положениями Афинской Конвенции, что является подтверждением имплементации ее норм. По этой причине считаем целесообразно провести сравнительный анализ норм КТМ РФ и Протокола 2002 года, который вступил в силу в 2014 году по вопросам, вызывающим наибольший интерес у ученых-правоведов. Протокол 2002 года, по сравнению с предыдущей редакцией Конвенции, увеличивает пределы ответственности за вред, причиненный жизни и здоровью пассажира. Так, в новой редакции эта ответственность ограничивается теперь 400 тыс. СПЗ, тогда как предыдущий Протокол предусматривал ограничение в 46666 СПЗ. Ущерб каютному багажу также увеличился до 2250 СПЗ, за повреждение автомобиля и всего, что в нем находится, новая редакция предусматривает ограничение ответственности в 12700 СПЗ, предыдущая предусматривала 3333 СПЗ. За остальной багаж ответственность предусмотрена в рамках 3375 СПЗ. </w:t>
      </w:r>
    </w:p>
    <w:p w14:paraId="792F2ACA" w14:textId="77777777" w:rsidR="001B6C3B" w:rsidRDefault="001B6C3B" w:rsidP="001B6C3B">
      <w:pPr>
        <w:spacing w:after="0" w:line="240" w:lineRule="auto"/>
        <w:ind w:firstLine="709"/>
        <w:contextualSpacing/>
        <w:jc w:val="both"/>
        <w:rPr>
          <w:rFonts w:ascii="Times New Roman" w:hAnsi="Times New Roman" w:cs="Times New Roman"/>
          <w:sz w:val="24"/>
        </w:rPr>
      </w:pPr>
      <w:r>
        <w:rPr>
          <w:rFonts w:ascii="Times New Roman" w:hAnsi="Times New Roman" w:cs="Times New Roman"/>
          <w:sz w:val="24"/>
        </w:rPr>
        <w:t>Кодекс торгового мореплавания РФ указывает, что нормы, регулирующие ответственность перевозчика, применимы только к международной морской перевозке, при этом сам перевозчик и пассажиры не относятся к Российской Федерации, то есть официально в ней не зарегистрированы. В случае, если перевозчик и пассажиры являются резидентами России, то подлежат применению нормы Афинской Конвенции. Если договор между перевозчиком и пассажиром или КТМ РФ не указывают на больший размер ответственности, чем это прописано в Конвенции, то применению подлежат нормы российского законодательства. Ученые считают, что это является одним из недочетов отечественного законодательства, поскольку перевозчик является сильной стороной по договору, а пассажир, наоборот, слабой. Поэтому законодатель встает на защиту именно слабой стороны [3].</w:t>
      </w:r>
    </w:p>
    <w:p w14:paraId="21898BEF" w14:textId="77777777" w:rsidR="001B6C3B" w:rsidRDefault="001B6C3B" w:rsidP="001B6C3B">
      <w:pPr>
        <w:spacing w:after="0" w:line="240" w:lineRule="auto"/>
        <w:ind w:firstLine="709"/>
        <w:contextualSpacing/>
        <w:jc w:val="both"/>
        <w:rPr>
          <w:rFonts w:ascii="Times New Roman" w:hAnsi="Times New Roman" w:cs="Times New Roman"/>
          <w:sz w:val="24"/>
        </w:rPr>
      </w:pPr>
      <w:r>
        <w:rPr>
          <w:rFonts w:ascii="Times New Roman" w:hAnsi="Times New Roman" w:cs="Times New Roman"/>
          <w:sz w:val="24"/>
        </w:rPr>
        <w:t xml:space="preserve">При этом в случае, когда судно по каким-либо причинам терпит крушение, имеет место возмещение в неполном размере. Это пагубно сказывается на самом перевозчике, который может запустить процедуру банкротства, что повлечет недостаточное удовлетворение исковых требований пострадавших и семей погибших пассажиров. Поэтому представляется возможным исключить из перевозочного документа положения о возмещении убытков, в случае непредвиденных обстоятельств. Это обосновывается принципом действия самого ограничения ответственности. </w:t>
      </w:r>
    </w:p>
    <w:p w14:paraId="34CA0FBD" w14:textId="77777777" w:rsidR="001B6C3B" w:rsidRDefault="001B6C3B" w:rsidP="001B6C3B">
      <w:pPr>
        <w:spacing w:after="0" w:line="240" w:lineRule="auto"/>
        <w:ind w:firstLine="709"/>
        <w:contextualSpacing/>
        <w:jc w:val="both"/>
        <w:rPr>
          <w:rFonts w:ascii="Times New Roman" w:hAnsi="Times New Roman" w:cs="Times New Roman"/>
          <w:sz w:val="24"/>
        </w:rPr>
      </w:pPr>
      <w:r>
        <w:rPr>
          <w:rFonts w:ascii="Times New Roman" w:hAnsi="Times New Roman" w:cs="Times New Roman"/>
          <w:sz w:val="24"/>
        </w:rPr>
        <w:t xml:space="preserve">Пределы ответственности, применяемые при возникновении вреда жизни или здоровью пассажиров, когда перевозчик и пассажир не являются резидентами РФ, регулируются отечественным законодательством, а именно Кодексом торгового мореплавания РФ. Статья 190 данного нормативного правового акта устанавливает ограничения при причинении вреда жизни и здоровью пассажира в 175 тыс. СПЗ; при повреждении каютного багажа – 1800 СПЗ на каждого пассажира; при повреждении или </w:t>
      </w:r>
      <w:r>
        <w:rPr>
          <w:rFonts w:ascii="Times New Roman" w:hAnsi="Times New Roman" w:cs="Times New Roman"/>
          <w:sz w:val="24"/>
        </w:rPr>
        <w:lastRenderedPageBreak/>
        <w:t>утрате автомашины, в том числе связанного с ней груза – 10 тыс. СПЗ; при повреждении остального багажа – 2700 СПЗ.</w:t>
      </w:r>
    </w:p>
    <w:p w14:paraId="46CA9D2D" w14:textId="77777777" w:rsidR="001B6C3B" w:rsidRDefault="001B6C3B" w:rsidP="001B6C3B">
      <w:pPr>
        <w:spacing w:after="0" w:line="240" w:lineRule="auto"/>
        <w:ind w:firstLine="709"/>
        <w:contextualSpacing/>
        <w:jc w:val="both"/>
        <w:rPr>
          <w:rFonts w:ascii="Times New Roman" w:hAnsi="Times New Roman" w:cs="Times New Roman"/>
          <w:sz w:val="24"/>
        </w:rPr>
      </w:pPr>
      <w:r>
        <w:rPr>
          <w:rFonts w:ascii="Times New Roman" w:hAnsi="Times New Roman" w:cs="Times New Roman"/>
          <w:sz w:val="24"/>
        </w:rPr>
        <w:t>При обращении к Протоколу к Афинской Конвенции 2002 г. видно, что размеры возмещения разнятся с теми, что прописаны в КТМ РФ. Это может означать, что правовое регулирование пределов ответственности для резидентов РФ и иностранцев совершенно разное. Решение такой проблемы видится только в унификации вышерассмотренных норм [2].</w:t>
      </w:r>
    </w:p>
    <w:p w14:paraId="65FCA72E" w14:textId="77777777" w:rsidR="001B6C3B" w:rsidRDefault="001B6C3B" w:rsidP="001B6C3B">
      <w:pPr>
        <w:spacing w:after="0" w:line="240" w:lineRule="auto"/>
        <w:ind w:firstLine="709"/>
        <w:contextualSpacing/>
        <w:jc w:val="both"/>
        <w:rPr>
          <w:rFonts w:ascii="Times New Roman" w:hAnsi="Times New Roman" w:cs="Times New Roman"/>
          <w:sz w:val="24"/>
        </w:rPr>
      </w:pPr>
      <w:r>
        <w:rPr>
          <w:rFonts w:ascii="Times New Roman" w:hAnsi="Times New Roman" w:cs="Times New Roman"/>
          <w:sz w:val="24"/>
        </w:rPr>
        <w:t>Согласно ст. 4</w:t>
      </w:r>
      <w:r>
        <w:rPr>
          <w:rFonts w:ascii="Times New Roman" w:hAnsi="Times New Roman" w:cs="Times New Roman"/>
          <w:sz w:val="24"/>
          <w:lang w:val="en-US"/>
        </w:rPr>
        <w:t>bis</w:t>
      </w:r>
      <w:r>
        <w:rPr>
          <w:rFonts w:ascii="Times New Roman" w:hAnsi="Times New Roman" w:cs="Times New Roman"/>
          <w:sz w:val="24"/>
        </w:rPr>
        <w:t xml:space="preserve"> Протокола от 2002 года перевозчик обязан страховать собственную ответственность за причинение вреда жизни или здоровью пассажиру в размере минимум в 250 тыс. СПЗ, либо должен предоставить иное финансовое обеспечение, к примеру, гарантию банка либо иного аналогичного учреждения на такую же сумму. Данная обязанность должна подтверждаться свидетельством, удостоверяющим наличие такого финансового обеспечения, которое включает в себя информацию о перевозчике. Специалисты в области международного частного права предусмотрели специальную типовую форму, которой должно соответствовать данное страховое свидетельство. Такое страхование является наилучшим средством по обеспечению обязательств в возмещении любого вреда, который может возникнуть при международной морской перевозке. В данном случае пострадавший пассажир может обратиться к страховщику с требованием о возмещении понесенного им ущерба.</w:t>
      </w:r>
    </w:p>
    <w:p w14:paraId="28A675C4" w14:textId="77777777" w:rsidR="001B6C3B" w:rsidRDefault="001B6C3B" w:rsidP="001B6C3B">
      <w:pPr>
        <w:spacing w:after="0" w:line="240" w:lineRule="auto"/>
        <w:ind w:firstLine="709"/>
        <w:contextualSpacing/>
        <w:jc w:val="both"/>
        <w:rPr>
          <w:rFonts w:ascii="Times New Roman" w:hAnsi="Times New Roman" w:cs="Times New Roman"/>
          <w:sz w:val="24"/>
        </w:rPr>
      </w:pPr>
      <w:r>
        <w:rPr>
          <w:rFonts w:ascii="Times New Roman" w:hAnsi="Times New Roman" w:cs="Times New Roman"/>
          <w:sz w:val="24"/>
        </w:rPr>
        <w:t>Российское право включает в себя институт обязательного страхования ответственности перевозчика за причинение вреда жизни и здоровью пассажира, а также его багажа, который регулируется Федеральным законом № 67 «Об обязательном страховании гражданской ответственности перевозчика за причинение вреда жизни, здоровью, имуществу пассажиров и о порядке возмещения такого вреда, причиненного при перевозках пассажиров метрополитеном». С учетом положений Протокола  2002 г., российский законодатель установил размер страхования ответственности перевозчика в статье 23 указанного Федерального закона. Однако, страховая сумма в Законе намного меньше, чем в Протоколе 2002 г.</w:t>
      </w:r>
    </w:p>
    <w:p w14:paraId="1500A2D1" w14:textId="77777777" w:rsidR="001B6C3B" w:rsidRDefault="001B6C3B" w:rsidP="001B6C3B">
      <w:pPr>
        <w:spacing w:after="0" w:line="240" w:lineRule="auto"/>
        <w:ind w:firstLine="709"/>
        <w:contextualSpacing/>
        <w:jc w:val="both"/>
        <w:rPr>
          <w:rFonts w:ascii="Times New Roman" w:hAnsi="Times New Roman" w:cs="Times New Roman"/>
          <w:sz w:val="24"/>
        </w:rPr>
      </w:pPr>
      <w:r>
        <w:rPr>
          <w:rFonts w:ascii="Times New Roman" w:hAnsi="Times New Roman" w:cs="Times New Roman"/>
          <w:sz w:val="24"/>
        </w:rPr>
        <w:t xml:space="preserve">Вышесказанное позволяет сделать вывод о том, что Протокол 2002 года внес огромный вклад в формирование отношений при международной морской перевозке пассажиров и багажа. В нем предусмотрены нормы, соответствующие современному этапу развития общества. Однако стоит отметить, что применение его правовых норм создает сложности по причине несоответствия национальному законодательству. Закрепление предела ответственности перевозчика в международных договорах и российском праве является по-настоящему значимым фактором. Но не стоит забывать о том, что его размеры в Протоколе 2002 г. и КТМ РФ отличаются, что неблагоприятно сказывается на правоотношениях, возникающих при причинении вреда пассажиру или его имуществу. Перспективным видится приведение всех правовых норм, регулирующих ответственность международного морского перевозчика, к единообразию. </w:t>
      </w:r>
    </w:p>
    <w:p w14:paraId="5472F1C2" w14:textId="77777777" w:rsidR="001B6C3B" w:rsidRDefault="001B6C3B" w:rsidP="001B6C3B">
      <w:pPr>
        <w:spacing w:after="0" w:line="240" w:lineRule="auto"/>
        <w:ind w:firstLine="709"/>
        <w:contextualSpacing/>
        <w:jc w:val="both"/>
        <w:rPr>
          <w:rFonts w:ascii="Times New Roman" w:hAnsi="Times New Roman" w:cs="Times New Roman"/>
          <w:sz w:val="24"/>
        </w:rPr>
      </w:pPr>
    </w:p>
    <w:p w14:paraId="58B18467" w14:textId="77777777" w:rsidR="001B6C3B" w:rsidRDefault="001B6C3B" w:rsidP="001B6C3B">
      <w:pPr>
        <w:spacing w:after="0" w:line="240" w:lineRule="auto"/>
        <w:contextualSpacing/>
        <w:jc w:val="center"/>
        <w:rPr>
          <w:rFonts w:ascii="Times New Roman" w:hAnsi="Times New Roman" w:cs="Times New Roman"/>
          <w:b/>
          <w:sz w:val="24"/>
        </w:rPr>
      </w:pPr>
      <w:r>
        <w:rPr>
          <w:rFonts w:ascii="Times New Roman" w:hAnsi="Times New Roman" w:cs="Times New Roman"/>
          <w:b/>
          <w:sz w:val="24"/>
        </w:rPr>
        <w:t>Библиографический список источников</w:t>
      </w:r>
    </w:p>
    <w:p w14:paraId="2D3156F5" w14:textId="77777777" w:rsidR="001B6C3B" w:rsidRDefault="001B6C3B" w:rsidP="001B6C3B">
      <w:pPr>
        <w:spacing w:after="0" w:line="240" w:lineRule="auto"/>
        <w:contextualSpacing/>
        <w:jc w:val="center"/>
        <w:rPr>
          <w:rFonts w:ascii="Times New Roman" w:hAnsi="Times New Roman" w:cs="Times New Roman"/>
          <w:sz w:val="24"/>
        </w:rPr>
      </w:pPr>
    </w:p>
    <w:p w14:paraId="58E1D24A" w14:textId="77777777" w:rsidR="001B6C3B" w:rsidRDefault="001B6C3B" w:rsidP="00E3198A">
      <w:pPr>
        <w:pStyle w:val="13"/>
        <w:widowControl w:val="0"/>
        <w:numPr>
          <w:ilvl w:val="0"/>
          <w:numId w:val="11"/>
        </w:numPr>
        <w:ind w:left="0" w:firstLine="709"/>
        <w:jc w:val="both"/>
      </w:pPr>
      <w:r>
        <w:t>Глинщикова, Т. В. Право общей собственности на здания : автореф. дис. ... канд. юрид. наук / Т. В. Глинщикова. – Краснодар, 2004. – 36 с.</w:t>
      </w:r>
    </w:p>
    <w:p w14:paraId="6A4D4030" w14:textId="77777777" w:rsidR="001B6C3B" w:rsidRDefault="001B6C3B" w:rsidP="00E3198A">
      <w:pPr>
        <w:pStyle w:val="a4"/>
        <w:numPr>
          <w:ilvl w:val="0"/>
          <w:numId w:val="11"/>
        </w:numPr>
        <w:spacing w:after="0" w:line="240" w:lineRule="auto"/>
        <w:ind w:left="0" w:firstLine="709"/>
        <w:jc w:val="both"/>
        <w:rPr>
          <w:rFonts w:ascii="Times New Roman" w:hAnsi="Times New Roman" w:cs="Times New Roman"/>
          <w:sz w:val="24"/>
        </w:rPr>
      </w:pPr>
      <w:r>
        <w:rPr>
          <w:rFonts w:ascii="Times New Roman" w:hAnsi="Times New Roman" w:cs="Times New Roman"/>
          <w:sz w:val="24"/>
        </w:rPr>
        <w:t>Коваль В. Н. Международное морское право (частное и публичное): Учебник / Под общ. ред. В.Н. Коваля. М.: Вузовский учебник: ИНФРА-М, 2107. 228 с.</w:t>
      </w:r>
    </w:p>
    <w:p w14:paraId="30A47370" w14:textId="77777777" w:rsidR="001B6C3B" w:rsidRDefault="001B6C3B" w:rsidP="00E3198A">
      <w:pPr>
        <w:pStyle w:val="a4"/>
        <w:numPr>
          <w:ilvl w:val="0"/>
          <w:numId w:val="11"/>
        </w:numPr>
        <w:spacing w:after="0" w:line="240" w:lineRule="auto"/>
        <w:ind w:left="0" w:firstLine="709"/>
        <w:jc w:val="both"/>
        <w:rPr>
          <w:rFonts w:ascii="Times New Roman" w:hAnsi="Times New Roman" w:cs="Times New Roman"/>
          <w:sz w:val="24"/>
        </w:rPr>
      </w:pPr>
      <w:r>
        <w:rPr>
          <w:rFonts w:ascii="Times New Roman" w:hAnsi="Times New Roman" w:cs="Times New Roman"/>
          <w:sz w:val="24"/>
        </w:rPr>
        <w:t>Костин А. А. Международные конвенции и соглашения. Часть 1. Международные перевозки : учебное пособие / А. А. Костин, О. В. Костина. — Москва : Российская таможенная академия, 2016. — 190 c.</w:t>
      </w:r>
    </w:p>
    <w:p w14:paraId="2FED6F26" w14:textId="77777777" w:rsidR="001B6C3B" w:rsidRDefault="001B6C3B" w:rsidP="00E3198A">
      <w:pPr>
        <w:pStyle w:val="a4"/>
        <w:numPr>
          <w:ilvl w:val="0"/>
          <w:numId w:val="11"/>
        </w:numPr>
        <w:spacing w:after="0" w:line="240" w:lineRule="auto"/>
        <w:ind w:left="0" w:firstLine="709"/>
        <w:jc w:val="both"/>
        <w:rPr>
          <w:rFonts w:ascii="Times New Roman" w:hAnsi="Times New Roman" w:cs="Times New Roman"/>
          <w:sz w:val="24"/>
        </w:rPr>
      </w:pPr>
      <w:r>
        <w:rPr>
          <w:rFonts w:ascii="Times New Roman" w:hAnsi="Times New Roman" w:cs="Times New Roman"/>
          <w:sz w:val="24"/>
        </w:rPr>
        <w:t>Лебедев С. Н. Международное частное право: учебник: в 2 т. / Е.А. Абросимова, А.В. Асосков, А.В. Банковский и др.; отв. ред. С.Н. Лебедев, Е.В. Кабатова. М.: Статут, 2015. Т. 2: Особенная часть. 764 с</w:t>
      </w:r>
    </w:p>
    <w:p w14:paraId="42CDC804" w14:textId="77777777" w:rsidR="001B6C3B" w:rsidRDefault="001B6C3B" w:rsidP="001B6C3B">
      <w:pPr>
        <w:spacing w:after="0" w:line="240" w:lineRule="auto"/>
        <w:rPr>
          <w:rFonts w:ascii="Times New Roman" w:hAnsi="Times New Roman" w:cs="Times New Roman"/>
          <w:sz w:val="24"/>
        </w:rPr>
        <w:sectPr w:rsidR="001B6C3B">
          <w:footnotePr>
            <w:numRestart w:val="eachPage"/>
          </w:footnotePr>
          <w:pgSz w:w="11906" w:h="16838"/>
          <w:pgMar w:top="1134" w:right="1134" w:bottom="1134" w:left="1134" w:header="709" w:footer="709" w:gutter="0"/>
          <w:cols w:space="720"/>
        </w:sectPr>
      </w:pPr>
    </w:p>
    <w:p w14:paraId="1DF860B0" w14:textId="77777777" w:rsidR="0065131F" w:rsidRPr="009D0BC7" w:rsidRDefault="0065131F" w:rsidP="0065131F">
      <w:pPr>
        <w:jc w:val="right"/>
        <w:rPr>
          <w:rFonts w:ascii="Times New Roman" w:hAnsi="Times New Roman" w:cs="Times New Roman"/>
          <w:b/>
          <w:sz w:val="24"/>
          <w:szCs w:val="24"/>
        </w:rPr>
      </w:pPr>
      <w:r w:rsidRPr="009D0BC7">
        <w:rPr>
          <w:rFonts w:ascii="Times New Roman" w:hAnsi="Times New Roman" w:cs="Times New Roman"/>
          <w:b/>
          <w:sz w:val="24"/>
          <w:szCs w:val="24"/>
        </w:rPr>
        <w:lastRenderedPageBreak/>
        <w:t>УДК 347. 1</w:t>
      </w:r>
    </w:p>
    <w:p w14:paraId="45B98DCF" w14:textId="77777777" w:rsidR="0065131F" w:rsidRPr="002C39CB" w:rsidRDefault="0065131F" w:rsidP="0065131F">
      <w:pPr>
        <w:suppressAutoHyphens/>
        <w:spacing w:after="0"/>
        <w:ind w:left="2835" w:right="-6"/>
        <w:rPr>
          <w:rFonts w:ascii="Times New Roman" w:hAnsi="Times New Roman" w:cs="Times New Roman"/>
          <w:b/>
          <w:sz w:val="24"/>
          <w:szCs w:val="24"/>
        </w:rPr>
      </w:pPr>
      <w:r w:rsidRPr="002C39CB">
        <w:rPr>
          <w:rFonts w:ascii="Times New Roman" w:hAnsi="Times New Roman" w:cs="Times New Roman"/>
          <w:b/>
          <w:sz w:val="24"/>
          <w:szCs w:val="24"/>
        </w:rPr>
        <w:t>Вихрева Алёна Вячеславовна</w:t>
      </w:r>
    </w:p>
    <w:p w14:paraId="7A820EBE" w14:textId="77777777" w:rsidR="0065131F" w:rsidRPr="002C39CB" w:rsidRDefault="0065131F" w:rsidP="0065131F">
      <w:pPr>
        <w:spacing w:after="0" w:line="240" w:lineRule="auto"/>
        <w:ind w:left="2835"/>
        <w:jc w:val="both"/>
        <w:rPr>
          <w:rFonts w:ascii="Times New Roman" w:hAnsi="Times New Roman" w:cs="Times New Roman"/>
          <w:b/>
          <w:sz w:val="24"/>
          <w:szCs w:val="24"/>
        </w:rPr>
      </w:pPr>
      <w:r w:rsidRPr="002C39CB">
        <w:rPr>
          <w:rFonts w:ascii="Times New Roman" w:hAnsi="Times New Roman" w:cs="Times New Roman"/>
          <w:b/>
          <w:sz w:val="24"/>
          <w:szCs w:val="24"/>
        </w:rPr>
        <w:t xml:space="preserve">Vihreva Alyona Vyacheslavovna </w:t>
      </w:r>
    </w:p>
    <w:p w14:paraId="6A7C9957" w14:textId="77777777" w:rsidR="0065131F" w:rsidRPr="002C39CB" w:rsidRDefault="0065131F" w:rsidP="0065131F">
      <w:pPr>
        <w:spacing w:after="0" w:line="240" w:lineRule="auto"/>
        <w:ind w:left="2835"/>
        <w:jc w:val="both"/>
        <w:rPr>
          <w:rFonts w:ascii="Times New Roman" w:hAnsi="Times New Roman" w:cs="Times New Roman"/>
          <w:sz w:val="24"/>
          <w:szCs w:val="24"/>
        </w:rPr>
      </w:pPr>
      <w:r w:rsidRPr="002C39CB">
        <w:rPr>
          <w:rFonts w:ascii="Times New Roman" w:hAnsi="Times New Roman" w:cs="Times New Roman"/>
          <w:sz w:val="24"/>
          <w:szCs w:val="24"/>
        </w:rPr>
        <w:t>магистр Федеральное государственное бюджетное образовательное учреждение высшего образования «Кубанский государственный аграрный университет имени И.Т. Трубилина»</w:t>
      </w:r>
    </w:p>
    <w:p w14:paraId="4913846F" w14:textId="77777777" w:rsidR="0065131F" w:rsidRPr="002C39CB" w:rsidRDefault="0065131F" w:rsidP="0065131F">
      <w:pPr>
        <w:pStyle w:val="ConsPlusNormal"/>
        <w:ind w:left="2835"/>
        <w:jc w:val="both"/>
        <w:rPr>
          <w:lang w:eastAsia="en-US"/>
        </w:rPr>
      </w:pPr>
      <w:r w:rsidRPr="002C39CB">
        <w:rPr>
          <w:lang w:eastAsia="en-US"/>
        </w:rPr>
        <w:t>Federal State Budgetary Educational Institution of Higher Education</w:t>
      </w:r>
    </w:p>
    <w:p w14:paraId="0CCC6A66" w14:textId="77777777" w:rsidR="0065131F" w:rsidRPr="002C39CB" w:rsidRDefault="0065131F" w:rsidP="0065131F">
      <w:pPr>
        <w:pStyle w:val="ConsPlusNormal"/>
        <w:ind w:left="2835"/>
        <w:jc w:val="both"/>
        <w:rPr>
          <w:lang w:eastAsia="en-US"/>
        </w:rPr>
      </w:pPr>
      <w:r w:rsidRPr="002C39CB">
        <w:rPr>
          <w:lang w:eastAsia="en-US"/>
        </w:rPr>
        <w:t>«Kuban State Agrarian University named after I.T. Trubilin»</w:t>
      </w:r>
    </w:p>
    <w:p w14:paraId="191A76E4" w14:textId="77777777" w:rsidR="0065131F" w:rsidRPr="002C39CB" w:rsidRDefault="0065131F" w:rsidP="0065131F">
      <w:pPr>
        <w:pStyle w:val="ConsPlusNormal"/>
        <w:ind w:left="2835"/>
        <w:jc w:val="both"/>
        <w:rPr>
          <w:lang w:val="ru-RU" w:eastAsia="en-US"/>
        </w:rPr>
      </w:pPr>
      <w:r w:rsidRPr="002C39CB">
        <w:rPr>
          <w:lang w:val="ru-RU" w:eastAsia="en-US"/>
        </w:rPr>
        <w:t>Российская Федерация, г. Краснодар</w:t>
      </w:r>
    </w:p>
    <w:p w14:paraId="274FC645" w14:textId="77777777" w:rsidR="0065131F" w:rsidRPr="002C39CB" w:rsidRDefault="0065131F" w:rsidP="0065131F">
      <w:pPr>
        <w:pStyle w:val="ConsPlusNormal"/>
        <w:ind w:left="2835"/>
        <w:jc w:val="both"/>
        <w:rPr>
          <w:lang w:val="ru-RU" w:eastAsia="en-US"/>
        </w:rPr>
      </w:pPr>
      <w:r w:rsidRPr="002C39CB">
        <w:rPr>
          <w:lang w:eastAsia="en-US"/>
        </w:rPr>
        <w:t>Russian</w:t>
      </w:r>
      <w:r w:rsidRPr="002C39CB">
        <w:rPr>
          <w:lang w:val="ru-RU" w:eastAsia="en-US"/>
        </w:rPr>
        <w:t xml:space="preserve"> </w:t>
      </w:r>
      <w:r w:rsidRPr="002C39CB">
        <w:rPr>
          <w:lang w:eastAsia="en-US"/>
        </w:rPr>
        <w:t>Federation</w:t>
      </w:r>
      <w:r w:rsidRPr="002C39CB">
        <w:rPr>
          <w:lang w:val="ru-RU" w:eastAsia="en-US"/>
        </w:rPr>
        <w:t xml:space="preserve">, </w:t>
      </w:r>
      <w:r w:rsidRPr="002C39CB">
        <w:rPr>
          <w:lang w:eastAsia="en-US"/>
        </w:rPr>
        <w:t>Krasnodar</w:t>
      </w:r>
    </w:p>
    <w:p w14:paraId="3A761CCF" w14:textId="77777777" w:rsidR="0065131F" w:rsidRPr="002C39CB" w:rsidRDefault="0065131F" w:rsidP="0065131F">
      <w:pPr>
        <w:spacing w:after="0"/>
        <w:ind w:left="2835" w:right="-6"/>
        <w:rPr>
          <w:rFonts w:ascii="Times New Roman" w:hAnsi="Times New Roman" w:cs="Times New Roman"/>
          <w:sz w:val="24"/>
          <w:szCs w:val="24"/>
        </w:rPr>
      </w:pPr>
      <w:r w:rsidRPr="002C39CB">
        <w:rPr>
          <w:rFonts w:ascii="Times New Roman" w:hAnsi="Times New Roman" w:cs="Times New Roman"/>
          <w:sz w:val="24"/>
          <w:szCs w:val="24"/>
          <w:lang w:val="en-US"/>
        </w:rPr>
        <w:t>ivihreva</w:t>
      </w:r>
      <w:r w:rsidRPr="002C39CB">
        <w:rPr>
          <w:rFonts w:ascii="Times New Roman" w:hAnsi="Times New Roman" w:cs="Times New Roman"/>
          <w:sz w:val="24"/>
          <w:szCs w:val="24"/>
        </w:rPr>
        <w:t>@</w:t>
      </w:r>
      <w:r w:rsidRPr="002C39CB">
        <w:rPr>
          <w:rFonts w:ascii="Times New Roman" w:hAnsi="Times New Roman" w:cs="Times New Roman"/>
          <w:sz w:val="24"/>
          <w:szCs w:val="24"/>
          <w:lang w:val="en-US"/>
        </w:rPr>
        <w:t>mail</w:t>
      </w:r>
      <w:r w:rsidRPr="002C39CB">
        <w:rPr>
          <w:rFonts w:ascii="Times New Roman" w:hAnsi="Times New Roman" w:cs="Times New Roman"/>
          <w:sz w:val="24"/>
          <w:szCs w:val="24"/>
        </w:rPr>
        <w:t>.</w:t>
      </w:r>
      <w:r w:rsidRPr="002C39CB">
        <w:rPr>
          <w:rFonts w:ascii="Times New Roman" w:hAnsi="Times New Roman" w:cs="Times New Roman"/>
          <w:sz w:val="24"/>
          <w:szCs w:val="24"/>
          <w:lang w:val="en-US"/>
        </w:rPr>
        <w:t>ru</w:t>
      </w:r>
    </w:p>
    <w:p w14:paraId="603BFF93" w14:textId="77777777" w:rsidR="0065131F" w:rsidRDefault="0065131F" w:rsidP="0065131F">
      <w:pPr>
        <w:rPr>
          <w:rFonts w:ascii="Times New Roman" w:hAnsi="Times New Roman" w:cs="Times New Roman"/>
          <w:sz w:val="28"/>
          <w:szCs w:val="28"/>
        </w:rPr>
      </w:pPr>
    </w:p>
    <w:p w14:paraId="78C88417" w14:textId="77777777" w:rsidR="0065131F" w:rsidRDefault="0065131F" w:rsidP="0065131F">
      <w:pPr>
        <w:jc w:val="center"/>
        <w:rPr>
          <w:rFonts w:ascii="Times New Roman" w:hAnsi="Times New Roman" w:cs="Times New Roman"/>
          <w:b/>
          <w:sz w:val="28"/>
          <w:szCs w:val="28"/>
        </w:rPr>
      </w:pPr>
      <w:r w:rsidRPr="002C39CB">
        <w:rPr>
          <w:rFonts w:ascii="Times New Roman" w:hAnsi="Times New Roman" w:cs="Times New Roman"/>
          <w:b/>
          <w:sz w:val="28"/>
          <w:szCs w:val="28"/>
        </w:rPr>
        <w:t>ОСОБЕННОСТИ ЗЛОУПОТРЕБЛЕНИЯ ГРАЖДАНСКИМИ ПРАВАМИ</w:t>
      </w:r>
    </w:p>
    <w:p w14:paraId="3F805074" w14:textId="77777777" w:rsidR="0065131F" w:rsidRDefault="0065131F" w:rsidP="0065131F">
      <w:pPr>
        <w:jc w:val="center"/>
        <w:rPr>
          <w:rFonts w:ascii="Times New Roman" w:hAnsi="Times New Roman" w:cs="Times New Roman"/>
          <w:b/>
          <w:sz w:val="28"/>
          <w:szCs w:val="28"/>
          <w:lang w:val="en-US"/>
        </w:rPr>
      </w:pPr>
      <w:r w:rsidRPr="002C39CB">
        <w:rPr>
          <w:rFonts w:ascii="Times New Roman" w:hAnsi="Times New Roman" w:cs="Times New Roman"/>
          <w:b/>
          <w:sz w:val="28"/>
          <w:szCs w:val="28"/>
          <w:lang w:val="en-US"/>
        </w:rPr>
        <w:t>FEATURES OF VALUE OF CIVIL RIGHTS</w:t>
      </w:r>
    </w:p>
    <w:p w14:paraId="389B53C6" w14:textId="77777777" w:rsidR="0065131F" w:rsidRDefault="0065131F" w:rsidP="0065131F">
      <w:pPr>
        <w:ind w:firstLine="851"/>
        <w:jc w:val="both"/>
        <w:rPr>
          <w:rFonts w:ascii="Times New Roman" w:hAnsi="Times New Roman" w:cs="Times New Roman"/>
          <w:sz w:val="24"/>
          <w:szCs w:val="24"/>
        </w:rPr>
      </w:pPr>
      <w:r w:rsidRPr="002C39CB">
        <w:rPr>
          <w:rFonts w:ascii="Times New Roman" w:hAnsi="Times New Roman" w:cs="Times New Roman"/>
          <w:i/>
          <w:sz w:val="24"/>
          <w:szCs w:val="24"/>
        </w:rPr>
        <w:t>Аннотация:</w:t>
      </w:r>
      <w:r w:rsidRPr="002C39CB">
        <w:rPr>
          <w:rFonts w:ascii="Times New Roman" w:eastAsia="Times New Roman" w:hAnsi="Times New Roman" w:cs="Times New Roman"/>
          <w:sz w:val="24"/>
          <w:szCs w:val="24"/>
          <w:lang w:eastAsia="ru-RU"/>
        </w:rPr>
        <w:t xml:space="preserve"> Обеспечение законности и правовой культуры должно быть дополнено обеспечением добросовестности в правовой деятельности и только при их наличии можно достичь того уровня правопорядка и правосознания, которые запрограммированы законодателем.</w:t>
      </w:r>
      <w:r>
        <w:rPr>
          <w:rFonts w:ascii="Times New Roman" w:eastAsia="Times New Roman" w:hAnsi="Times New Roman" w:cs="Times New Roman"/>
          <w:sz w:val="24"/>
          <w:szCs w:val="24"/>
          <w:lang w:eastAsia="ru-RU"/>
        </w:rPr>
        <w:t xml:space="preserve"> </w:t>
      </w:r>
      <w:r>
        <w:rPr>
          <w:rFonts w:ascii="Times New Roman" w:hAnsi="Times New Roman" w:cs="Times New Roman"/>
          <w:sz w:val="24"/>
          <w:szCs w:val="24"/>
        </w:rPr>
        <w:t>Одним из основных регуляторов правоотношений в государстве является система прав и свобод, злоупотребляя своими правами, лица нарушают целостность работы социальной и правовой системы. Достижение того уровня правосознания и правопорядка, который был предопределен законодателем может быть лишь в том случае, когда о</w:t>
      </w:r>
      <w:r w:rsidRPr="007D5519">
        <w:rPr>
          <w:rFonts w:ascii="Times New Roman" w:hAnsi="Times New Roman" w:cs="Times New Roman"/>
          <w:sz w:val="24"/>
          <w:szCs w:val="24"/>
        </w:rPr>
        <w:t>беспечение законности и правовой культуры должно быть дополнено обеспечением добросовестности в правовой деятельности</w:t>
      </w:r>
      <w:r>
        <w:rPr>
          <w:rFonts w:ascii="Times New Roman" w:hAnsi="Times New Roman" w:cs="Times New Roman"/>
          <w:sz w:val="24"/>
          <w:szCs w:val="24"/>
        </w:rPr>
        <w:t xml:space="preserve">. Следовательно, необходимо постоянное изучение такого феномена как «злоупотребление правом» для контроля и, усовершенствования механизма его пресечения. </w:t>
      </w:r>
    </w:p>
    <w:p w14:paraId="39E9A068" w14:textId="77777777" w:rsidR="0065131F" w:rsidRPr="009D0BC7" w:rsidRDefault="0065131F" w:rsidP="0065131F">
      <w:pPr>
        <w:ind w:firstLine="851"/>
        <w:jc w:val="both"/>
        <w:rPr>
          <w:rFonts w:ascii="Times New Roman" w:eastAsia="Times New Roman" w:hAnsi="Times New Roman" w:cs="Times New Roman"/>
          <w:sz w:val="24"/>
          <w:szCs w:val="24"/>
          <w:lang w:eastAsia="ru-RU"/>
        </w:rPr>
      </w:pPr>
      <w:r w:rsidRPr="009D0BC7">
        <w:rPr>
          <w:rFonts w:ascii="Times New Roman" w:eastAsia="Times New Roman" w:hAnsi="Times New Roman" w:cs="Times New Roman"/>
          <w:bCs/>
          <w:sz w:val="24"/>
          <w:szCs w:val="24"/>
          <w:lang w:eastAsia="ru-RU" w:bidi="en-US"/>
        </w:rPr>
        <w:t>Ключевые слова: злоупотребление правом; добросовестность; шикана; злоупотребление доминирующим положением на рынке; действия в обход закона с противоправной целью; заведомо недобросовестное осуществление гражданских прав.</w:t>
      </w:r>
    </w:p>
    <w:p w14:paraId="52BB8894" w14:textId="77777777" w:rsidR="0065131F" w:rsidRDefault="0065131F" w:rsidP="0065131F">
      <w:pPr>
        <w:ind w:firstLine="851"/>
        <w:rPr>
          <w:rFonts w:ascii="Times New Roman" w:hAnsi="Times New Roman" w:cs="Times New Roman"/>
          <w:sz w:val="24"/>
          <w:szCs w:val="24"/>
          <w:lang w:val="en-US"/>
        </w:rPr>
      </w:pPr>
      <w:r w:rsidRPr="007D5519">
        <w:rPr>
          <w:rFonts w:ascii="Times New Roman" w:hAnsi="Times New Roman" w:cs="Times New Roman"/>
          <w:i/>
          <w:iCs/>
          <w:sz w:val="24"/>
          <w:szCs w:val="24"/>
          <w:lang w:val="en-US" w:bidi="en-US"/>
        </w:rPr>
        <w:t>Аnnotation:</w:t>
      </w:r>
      <w:r w:rsidRPr="007D5519">
        <w:rPr>
          <w:rFonts w:ascii="Times New Roman" w:hAnsi="Times New Roman" w:cs="Times New Roman"/>
          <w:iCs/>
          <w:sz w:val="24"/>
          <w:szCs w:val="24"/>
          <w:lang w:val="en-US" w:bidi="en-US"/>
        </w:rPr>
        <w:t xml:space="preserve"> </w:t>
      </w:r>
      <w:r w:rsidRPr="007D5519">
        <w:rPr>
          <w:rFonts w:ascii="Times New Roman" w:hAnsi="Times New Roman" w:cs="Times New Roman"/>
          <w:sz w:val="24"/>
          <w:szCs w:val="24"/>
          <w:lang w:val="en-US"/>
        </w:rPr>
        <w:t>Ensuring the rule of law and legal culture should be supplemented by ensuring good faith in legal activities and only if they are available, it is possible to achieve the level of law and order and legal awareness that is programmed by the legislator. One of the main regulators of legal relations in the state is the system of rights and freedoms</w:t>
      </w:r>
      <w:r w:rsidRPr="001752A0">
        <w:rPr>
          <w:rFonts w:ascii="Times New Roman" w:hAnsi="Times New Roman" w:cs="Times New Roman"/>
          <w:sz w:val="24"/>
          <w:szCs w:val="24"/>
          <w:lang w:val="en-US"/>
        </w:rPr>
        <w:t xml:space="preserve">, </w:t>
      </w:r>
      <w:r w:rsidRPr="007D5519">
        <w:rPr>
          <w:rFonts w:ascii="Times New Roman" w:hAnsi="Times New Roman" w:cs="Times New Roman"/>
          <w:sz w:val="24"/>
          <w:szCs w:val="24"/>
          <w:lang w:val="en-US"/>
        </w:rPr>
        <w:t>by abusing their rights, individuals violate the integrity of the social and legal system. Achieving the level of legal awareness and law and order that was predetermined by the legislator can only be in the case when ensuring the rule of law and legal culture must be supplemented by ensuring integrity in legal activities. Therefore, it is necessary to constantly study the phenomenon of "abuse of law" in order to control and improve the mechanism for its suppression.</w:t>
      </w:r>
    </w:p>
    <w:p w14:paraId="7F736496" w14:textId="77777777" w:rsidR="0065131F" w:rsidRDefault="0065131F" w:rsidP="0065131F">
      <w:pPr>
        <w:ind w:firstLine="851"/>
        <w:rPr>
          <w:rFonts w:ascii="Times New Roman" w:hAnsi="Times New Roman" w:cs="Times New Roman"/>
          <w:sz w:val="24"/>
          <w:szCs w:val="24"/>
          <w:lang w:val="en-US"/>
        </w:rPr>
      </w:pPr>
      <w:r w:rsidRPr="001752A0">
        <w:rPr>
          <w:rFonts w:ascii="Times New Roman" w:hAnsi="Times New Roman" w:cs="Times New Roman"/>
          <w:i/>
          <w:sz w:val="24"/>
          <w:szCs w:val="24"/>
          <w:lang w:val="en-US"/>
        </w:rPr>
        <w:t>Keywords:</w:t>
      </w:r>
      <w:r w:rsidRPr="001752A0">
        <w:rPr>
          <w:rFonts w:ascii="Times New Roman" w:hAnsi="Times New Roman" w:cs="Times New Roman"/>
          <w:sz w:val="24"/>
          <w:szCs w:val="24"/>
          <w:lang w:val="en-US"/>
        </w:rPr>
        <w:t xml:space="preserve"> abuse of law; good faith; </w:t>
      </w:r>
      <w:r>
        <w:rPr>
          <w:rFonts w:ascii="Times New Roman" w:hAnsi="Times New Roman" w:cs="Times New Roman"/>
          <w:sz w:val="24"/>
          <w:szCs w:val="24"/>
          <w:lang w:val="en-US"/>
        </w:rPr>
        <w:t>c</w:t>
      </w:r>
      <w:r w:rsidRPr="001752A0">
        <w:rPr>
          <w:rFonts w:ascii="Times New Roman" w:hAnsi="Times New Roman" w:cs="Times New Roman"/>
          <w:sz w:val="24"/>
          <w:szCs w:val="24"/>
          <w:lang w:val="en-US"/>
        </w:rPr>
        <w:t>hicane; abuse of a dominant position in the market; actions that circumvent the law for an illegal purpose; deliberately unfair exercise of civil rights.</w:t>
      </w:r>
    </w:p>
    <w:p w14:paraId="08E6D1FF" w14:textId="77777777" w:rsidR="0065131F" w:rsidRDefault="0065131F" w:rsidP="0065131F">
      <w:pPr>
        <w:ind w:firstLine="851"/>
        <w:rPr>
          <w:rFonts w:ascii="Times New Roman" w:hAnsi="Times New Roman" w:cs="Times New Roman"/>
          <w:sz w:val="24"/>
          <w:szCs w:val="24"/>
          <w:lang w:val="en-US"/>
        </w:rPr>
      </w:pPr>
    </w:p>
    <w:p w14:paraId="1A12CEB9" w14:textId="77777777" w:rsidR="0065131F" w:rsidRPr="007D5519" w:rsidRDefault="0065131F" w:rsidP="0065131F">
      <w:pPr>
        <w:ind w:firstLine="851"/>
        <w:rPr>
          <w:rFonts w:ascii="Times New Roman" w:hAnsi="Times New Roman" w:cs="Times New Roman"/>
          <w:sz w:val="24"/>
          <w:szCs w:val="24"/>
          <w:lang w:val="en-US"/>
        </w:rPr>
      </w:pPr>
    </w:p>
    <w:p w14:paraId="5E9153B1" w14:textId="77777777" w:rsidR="0065131F" w:rsidRPr="009D0BC7" w:rsidRDefault="0065131F" w:rsidP="0065131F">
      <w:pPr>
        <w:spacing w:after="0" w:line="240" w:lineRule="auto"/>
        <w:ind w:firstLine="851"/>
        <w:jc w:val="both"/>
        <w:rPr>
          <w:rFonts w:ascii="Times New Roman" w:hAnsi="Times New Roman" w:cs="Times New Roman"/>
          <w:sz w:val="24"/>
          <w:szCs w:val="24"/>
          <w:lang w:val="en-US"/>
        </w:rPr>
        <w:sectPr w:rsidR="0065131F" w:rsidRPr="009D0BC7" w:rsidSect="00FD5ABB">
          <w:pgSz w:w="11906" w:h="16838"/>
          <w:pgMar w:top="851" w:right="850" w:bottom="1134" w:left="1701" w:header="708" w:footer="708" w:gutter="0"/>
          <w:cols w:space="708"/>
          <w:docGrid w:linePitch="360"/>
        </w:sectPr>
      </w:pPr>
    </w:p>
    <w:p w14:paraId="084487E5" w14:textId="77777777" w:rsidR="0065131F" w:rsidRPr="00CA5FD9" w:rsidRDefault="0065131F" w:rsidP="0065131F">
      <w:pPr>
        <w:spacing w:after="0" w:line="240" w:lineRule="auto"/>
        <w:ind w:firstLine="851"/>
        <w:jc w:val="both"/>
        <w:rPr>
          <w:rFonts w:ascii="Times New Roman" w:hAnsi="Times New Roman" w:cs="Times New Roman"/>
          <w:sz w:val="24"/>
          <w:szCs w:val="24"/>
        </w:rPr>
      </w:pPr>
      <w:r w:rsidRPr="00CA5FD9">
        <w:rPr>
          <w:rFonts w:ascii="Times New Roman" w:hAnsi="Times New Roman" w:cs="Times New Roman"/>
          <w:sz w:val="24"/>
          <w:szCs w:val="24"/>
        </w:rPr>
        <w:lastRenderedPageBreak/>
        <w:t>Такая категория как «злоупотребление правом» известна правовому опыту разных стран с древних времен и до сегодняшнего дня не потеряла свою актуальность. Законы, регулирующие гражданские правоотношения занимают большую роль не только в жизни каждого гражданина, но и в современном обществе в целом. Общество зачастую сталкивается со злоупотреблением правом, что является причиной нарушения гражданских прав и свобод.</w:t>
      </w:r>
    </w:p>
    <w:p w14:paraId="481E0075" w14:textId="77777777" w:rsidR="0065131F" w:rsidRDefault="0065131F" w:rsidP="0065131F">
      <w:pPr>
        <w:spacing w:after="0" w:line="240" w:lineRule="auto"/>
        <w:ind w:firstLine="851"/>
        <w:jc w:val="both"/>
        <w:rPr>
          <w:rFonts w:ascii="Times New Roman" w:hAnsi="Times New Roman" w:cs="Times New Roman"/>
          <w:sz w:val="24"/>
          <w:szCs w:val="24"/>
        </w:rPr>
      </w:pPr>
      <w:r w:rsidRPr="00CA5FD9">
        <w:rPr>
          <w:rFonts w:ascii="Times New Roman" w:hAnsi="Times New Roman" w:cs="Times New Roman"/>
          <w:sz w:val="24"/>
          <w:szCs w:val="24"/>
        </w:rPr>
        <w:t>Категория «злоупотребление правом» долгое время была объектом пристального внимания цивилистов, которые относили данную проблему исключительно к своей сфере</w:t>
      </w:r>
      <w:r>
        <w:rPr>
          <w:rFonts w:ascii="Times New Roman" w:hAnsi="Times New Roman" w:cs="Times New Roman"/>
          <w:sz w:val="24"/>
          <w:szCs w:val="24"/>
        </w:rPr>
        <w:t xml:space="preserve"> научных интересов</w:t>
      </w:r>
      <w:r w:rsidRPr="00CA5FD9">
        <w:rPr>
          <w:rFonts w:ascii="Times New Roman" w:hAnsi="Times New Roman" w:cs="Times New Roman"/>
          <w:sz w:val="24"/>
          <w:szCs w:val="24"/>
        </w:rPr>
        <w:t xml:space="preserve">. Среди ученых-цивилистов в России в </w:t>
      </w:r>
      <w:r>
        <w:rPr>
          <w:rFonts w:ascii="Times New Roman" w:hAnsi="Times New Roman" w:cs="Times New Roman"/>
          <w:sz w:val="24"/>
          <w:szCs w:val="24"/>
        </w:rPr>
        <w:t xml:space="preserve">различные временные рамки </w:t>
      </w:r>
      <w:r w:rsidRPr="00CA5FD9">
        <w:rPr>
          <w:rFonts w:ascii="Times New Roman" w:hAnsi="Times New Roman" w:cs="Times New Roman"/>
          <w:sz w:val="24"/>
          <w:szCs w:val="24"/>
        </w:rPr>
        <w:t>проводили исследования такие ученые как: О.Н.Бармина</w:t>
      </w:r>
      <w:r w:rsidRPr="00CA5FD9">
        <w:rPr>
          <w:rStyle w:val="a7"/>
          <w:rFonts w:ascii="Times New Roman" w:hAnsi="Times New Roman" w:cs="Times New Roman"/>
          <w:sz w:val="24"/>
          <w:szCs w:val="24"/>
        </w:rPr>
        <w:footnoteReference w:id="99"/>
      </w:r>
      <w:r w:rsidRPr="00CA5FD9">
        <w:rPr>
          <w:rFonts w:ascii="Times New Roman" w:hAnsi="Times New Roman" w:cs="Times New Roman"/>
          <w:sz w:val="24"/>
          <w:szCs w:val="24"/>
        </w:rPr>
        <w:t>, Г.В. Бекназар</w:t>
      </w:r>
      <w:r w:rsidRPr="00CA5FD9">
        <w:rPr>
          <w:sz w:val="24"/>
          <w:szCs w:val="24"/>
        </w:rPr>
        <w:t xml:space="preserve"> </w:t>
      </w:r>
      <w:r w:rsidRPr="00CA5FD9">
        <w:rPr>
          <w:rFonts w:ascii="Times New Roman" w:hAnsi="Times New Roman" w:cs="Times New Roman"/>
          <w:sz w:val="24"/>
          <w:szCs w:val="24"/>
        </w:rPr>
        <w:t>Юзбашев</w:t>
      </w:r>
      <w:r w:rsidRPr="00CA5FD9">
        <w:rPr>
          <w:rStyle w:val="a7"/>
          <w:rFonts w:ascii="Times New Roman" w:hAnsi="Times New Roman" w:cs="Times New Roman"/>
          <w:sz w:val="24"/>
          <w:szCs w:val="24"/>
        </w:rPr>
        <w:footnoteReference w:id="100"/>
      </w:r>
      <w:r w:rsidRPr="00CA5FD9">
        <w:rPr>
          <w:rFonts w:ascii="Times New Roman" w:hAnsi="Times New Roman" w:cs="Times New Roman"/>
          <w:sz w:val="24"/>
          <w:szCs w:val="24"/>
        </w:rPr>
        <w:t>, Е.В. Вавилин</w:t>
      </w:r>
      <w:r w:rsidRPr="00CA5FD9">
        <w:rPr>
          <w:rStyle w:val="a7"/>
          <w:rFonts w:ascii="Times New Roman" w:hAnsi="Times New Roman" w:cs="Times New Roman"/>
          <w:sz w:val="24"/>
          <w:szCs w:val="24"/>
        </w:rPr>
        <w:footnoteReference w:id="101"/>
      </w:r>
      <w:r w:rsidRPr="00CA5FD9">
        <w:rPr>
          <w:rFonts w:ascii="Times New Roman" w:hAnsi="Times New Roman" w:cs="Times New Roman"/>
          <w:sz w:val="24"/>
          <w:szCs w:val="24"/>
        </w:rPr>
        <w:t>, А.В. Волков8, В.П. Грибанов</w:t>
      </w:r>
      <w:r w:rsidRPr="00CA5FD9">
        <w:rPr>
          <w:rStyle w:val="a7"/>
          <w:rFonts w:ascii="Times New Roman" w:hAnsi="Times New Roman" w:cs="Times New Roman"/>
          <w:sz w:val="24"/>
          <w:szCs w:val="24"/>
        </w:rPr>
        <w:footnoteReference w:id="102"/>
      </w:r>
      <w:r w:rsidRPr="00CA5FD9">
        <w:rPr>
          <w:rFonts w:ascii="Times New Roman" w:hAnsi="Times New Roman" w:cs="Times New Roman"/>
          <w:sz w:val="24"/>
          <w:szCs w:val="24"/>
        </w:rPr>
        <w:t>, М.В. Ибрагимова</w:t>
      </w:r>
      <w:r w:rsidRPr="00CA5FD9">
        <w:rPr>
          <w:rStyle w:val="a7"/>
          <w:rFonts w:ascii="Times New Roman" w:hAnsi="Times New Roman" w:cs="Times New Roman"/>
          <w:sz w:val="24"/>
          <w:szCs w:val="24"/>
        </w:rPr>
        <w:footnoteReference w:id="103"/>
      </w:r>
      <w:r w:rsidRPr="00CA5FD9">
        <w:rPr>
          <w:rFonts w:ascii="Times New Roman" w:hAnsi="Times New Roman" w:cs="Times New Roman"/>
          <w:sz w:val="24"/>
          <w:szCs w:val="24"/>
        </w:rPr>
        <w:t>, П.А. Избрехт</w:t>
      </w:r>
      <w:r w:rsidRPr="00CA5FD9">
        <w:rPr>
          <w:rStyle w:val="a7"/>
          <w:rFonts w:ascii="Times New Roman" w:hAnsi="Times New Roman" w:cs="Times New Roman"/>
          <w:sz w:val="24"/>
          <w:szCs w:val="24"/>
        </w:rPr>
        <w:footnoteReference w:id="104"/>
      </w:r>
      <w:r w:rsidRPr="00CA5FD9">
        <w:rPr>
          <w:rFonts w:ascii="Times New Roman" w:hAnsi="Times New Roman" w:cs="Times New Roman"/>
          <w:sz w:val="24"/>
          <w:szCs w:val="24"/>
        </w:rPr>
        <w:t>, М.Ф. Лукьяненко</w:t>
      </w:r>
      <w:r w:rsidRPr="00CA5FD9">
        <w:rPr>
          <w:rStyle w:val="a7"/>
          <w:rFonts w:ascii="Times New Roman" w:hAnsi="Times New Roman" w:cs="Times New Roman"/>
          <w:sz w:val="24"/>
          <w:szCs w:val="24"/>
        </w:rPr>
        <w:footnoteReference w:id="105"/>
      </w:r>
      <w:r w:rsidRPr="00CA5FD9">
        <w:rPr>
          <w:rFonts w:ascii="Times New Roman" w:hAnsi="Times New Roman" w:cs="Times New Roman"/>
          <w:sz w:val="24"/>
          <w:szCs w:val="24"/>
        </w:rPr>
        <w:t>, С.Д. Радченко</w:t>
      </w:r>
      <w:r w:rsidRPr="00CA5FD9">
        <w:rPr>
          <w:rStyle w:val="a7"/>
          <w:rFonts w:ascii="Times New Roman" w:hAnsi="Times New Roman" w:cs="Times New Roman"/>
          <w:sz w:val="24"/>
          <w:szCs w:val="24"/>
        </w:rPr>
        <w:footnoteReference w:id="106"/>
      </w:r>
      <w:r w:rsidRPr="00CA5FD9">
        <w:rPr>
          <w:rFonts w:ascii="Times New Roman" w:hAnsi="Times New Roman" w:cs="Times New Roman"/>
          <w:sz w:val="24"/>
          <w:szCs w:val="24"/>
        </w:rPr>
        <w:t>, Яценко</w:t>
      </w:r>
      <w:r w:rsidRPr="00CA5FD9">
        <w:rPr>
          <w:rStyle w:val="a7"/>
          <w:rFonts w:ascii="Times New Roman" w:hAnsi="Times New Roman" w:cs="Times New Roman"/>
          <w:sz w:val="24"/>
          <w:szCs w:val="24"/>
        </w:rPr>
        <w:footnoteReference w:id="107"/>
      </w:r>
      <w:r>
        <w:rPr>
          <w:rFonts w:ascii="Times New Roman" w:hAnsi="Times New Roman" w:cs="Times New Roman"/>
          <w:sz w:val="24"/>
          <w:szCs w:val="24"/>
        </w:rPr>
        <w:t xml:space="preserve"> </w:t>
      </w:r>
      <w:r w:rsidRPr="00CA5FD9">
        <w:rPr>
          <w:rFonts w:ascii="Times New Roman" w:hAnsi="Times New Roman" w:cs="Times New Roman"/>
          <w:sz w:val="24"/>
          <w:szCs w:val="24"/>
        </w:rPr>
        <w:t xml:space="preserve">и другие.  </w:t>
      </w:r>
    </w:p>
    <w:p w14:paraId="42045F0C" w14:textId="77777777" w:rsidR="0065131F" w:rsidRPr="00CA5FD9" w:rsidRDefault="0065131F" w:rsidP="0065131F">
      <w:pPr>
        <w:spacing w:after="0" w:line="240" w:lineRule="auto"/>
        <w:ind w:firstLine="851"/>
        <w:jc w:val="both"/>
        <w:rPr>
          <w:rFonts w:ascii="Times New Roman" w:hAnsi="Times New Roman" w:cs="Times New Roman"/>
          <w:sz w:val="24"/>
          <w:szCs w:val="24"/>
        </w:rPr>
      </w:pPr>
      <w:r>
        <w:rPr>
          <w:rFonts w:ascii="Times New Roman" w:hAnsi="Times New Roman" w:cs="Times New Roman"/>
          <w:sz w:val="24"/>
          <w:szCs w:val="24"/>
        </w:rPr>
        <w:t xml:space="preserve">Несомненно, в настоящее время правовая действительность свидетельствует о том, что количество случаев злоупотребления гражданскими правами увеличивается, поскольку начинают появляться различные формы и новые виды злоупотреблений, прежних правовых средств и </w:t>
      </w:r>
      <w:r w:rsidRPr="000E00C4">
        <w:rPr>
          <w:rFonts w:ascii="Times New Roman" w:hAnsi="Times New Roman" w:cs="Times New Roman"/>
          <w:sz w:val="24"/>
          <w:szCs w:val="24"/>
        </w:rPr>
        <w:t>правово</w:t>
      </w:r>
      <w:r>
        <w:rPr>
          <w:rFonts w:ascii="Times New Roman" w:hAnsi="Times New Roman" w:cs="Times New Roman"/>
          <w:sz w:val="24"/>
          <w:szCs w:val="24"/>
        </w:rPr>
        <w:t xml:space="preserve">го </w:t>
      </w:r>
      <w:r w:rsidRPr="000E00C4">
        <w:rPr>
          <w:rFonts w:ascii="Times New Roman" w:hAnsi="Times New Roman" w:cs="Times New Roman"/>
          <w:sz w:val="24"/>
          <w:szCs w:val="24"/>
        </w:rPr>
        <w:t>опыт</w:t>
      </w:r>
      <w:r>
        <w:rPr>
          <w:rFonts w:ascii="Times New Roman" w:hAnsi="Times New Roman" w:cs="Times New Roman"/>
          <w:sz w:val="24"/>
          <w:szCs w:val="24"/>
        </w:rPr>
        <w:t>а становиться недостаточно для того, чтобы обеспечить добросовестное осуществления права в современном обществе, именно поэтому необходимы достоверные правовые средства для предотвращения или уменьшения злоупотребления в праве.</w:t>
      </w:r>
    </w:p>
    <w:p w14:paraId="3CBF2155" w14:textId="77777777" w:rsidR="0065131F" w:rsidRDefault="0065131F" w:rsidP="0065131F">
      <w:pPr>
        <w:spacing w:after="0" w:line="240" w:lineRule="auto"/>
        <w:ind w:firstLine="851"/>
        <w:jc w:val="both"/>
        <w:rPr>
          <w:rFonts w:ascii="Times New Roman" w:hAnsi="Times New Roman" w:cs="Times New Roman"/>
          <w:sz w:val="24"/>
          <w:szCs w:val="24"/>
        </w:rPr>
      </w:pPr>
      <w:r w:rsidRPr="00CA5FD9">
        <w:rPr>
          <w:rFonts w:ascii="Times New Roman" w:hAnsi="Times New Roman" w:cs="Times New Roman"/>
          <w:sz w:val="24"/>
          <w:szCs w:val="24"/>
        </w:rPr>
        <w:t>Как отмечал один из основоположников понятия злоупотребления правом</w:t>
      </w:r>
      <w:r>
        <w:rPr>
          <w:rFonts w:ascii="Times New Roman" w:hAnsi="Times New Roman" w:cs="Times New Roman"/>
          <w:sz w:val="24"/>
          <w:szCs w:val="24"/>
        </w:rPr>
        <w:t>,</w:t>
      </w:r>
      <w:r w:rsidRPr="000E00C4">
        <w:t xml:space="preserve"> </w:t>
      </w:r>
      <w:r w:rsidRPr="000E00C4">
        <w:rPr>
          <w:rFonts w:ascii="Times New Roman" w:hAnsi="Times New Roman" w:cs="Times New Roman"/>
          <w:sz w:val="24"/>
          <w:szCs w:val="24"/>
        </w:rPr>
        <w:t>представит</w:t>
      </w:r>
      <w:r>
        <w:rPr>
          <w:rFonts w:ascii="Times New Roman" w:hAnsi="Times New Roman" w:cs="Times New Roman"/>
          <w:sz w:val="24"/>
          <w:szCs w:val="24"/>
        </w:rPr>
        <w:t>ель</w:t>
      </w:r>
      <w:r w:rsidRPr="000E00C4">
        <w:rPr>
          <w:rFonts w:ascii="Times New Roman" w:hAnsi="Times New Roman" w:cs="Times New Roman"/>
          <w:sz w:val="24"/>
          <w:szCs w:val="24"/>
        </w:rPr>
        <w:t xml:space="preserve"> российских цивилистов советского периода, прошедших суровую школу Великой Отечественной войны</w:t>
      </w:r>
      <w:r>
        <w:rPr>
          <w:rFonts w:ascii="Times New Roman" w:hAnsi="Times New Roman" w:cs="Times New Roman"/>
          <w:sz w:val="24"/>
          <w:szCs w:val="24"/>
        </w:rPr>
        <w:t xml:space="preserve"> </w:t>
      </w:r>
      <w:r w:rsidRPr="00CA5FD9">
        <w:rPr>
          <w:rFonts w:ascii="Times New Roman" w:hAnsi="Times New Roman" w:cs="Times New Roman"/>
          <w:sz w:val="24"/>
          <w:szCs w:val="24"/>
        </w:rPr>
        <w:t>В.П. Грибанов: «о злоупотреблении правом, речь может идти лишь в случае, когда управомоченный субъект, действуя в границах принадлежащего ему субъективного права, в рамках тех возможностей, которые составляют содержание данного права, использует такие формы его реализации, которые выходят за установленные законом пределы осуществления права»</w:t>
      </w:r>
      <w:r w:rsidRPr="00CA5FD9">
        <w:rPr>
          <w:rFonts w:ascii="Times New Roman" w:hAnsi="Times New Roman" w:cs="Times New Roman"/>
          <w:sz w:val="24"/>
          <w:szCs w:val="24"/>
          <w:vertAlign w:val="superscript"/>
        </w:rPr>
        <w:footnoteReference w:id="108"/>
      </w:r>
      <w:r w:rsidRPr="00CA5FD9">
        <w:rPr>
          <w:rFonts w:ascii="Times New Roman" w:hAnsi="Times New Roman" w:cs="Times New Roman"/>
          <w:sz w:val="24"/>
          <w:szCs w:val="24"/>
        </w:rPr>
        <w:t xml:space="preserve">. </w:t>
      </w:r>
    </w:p>
    <w:p w14:paraId="0B6E88C8" w14:textId="77777777" w:rsidR="0065131F" w:rsidRPr="00CA5FD9" w:rsidRDefault="0065131F" w:rsidP="0065131F">
      <w:pPr>
        <w:spacing w:after="0" w:line="240" w:lineRule="auto"/>
        <w:ind w:firstLine="851"/>
        <w:jc w:val="both"/>
        <w:rPr>
          <w:rFonts w:ascii="Times New Roman" w:hAnsi="Times New Roman" w:cs="Times New Roman"/>
          <w:sz w:val="24"/>
          <w:szCs w:val="24"/>
        </w:rPr>
      </w:pPr>
      <w:r w:rsidRPr="00CA5FD9">
        <w:rPr>
          <w:rFonts w:ascii="Times New Roman" w:hAnsi="Times New Roman" w:cs="Times New Roman"/>
          <w:sz w:val="24"/>
          <w:szCs w:val="24"/>
        </w:rPr>
        <w:t>Именно это, а также то, что статья 10 ГК РФ законодателем названа как «пределы осуществления гражданских прав», а в пункте 1 данной статьи говорится о злоупотреблении правом, можно говорить о том, что законодатель использует эти термины как синонимы.</w:t>
      </w:r>
    </w:p>
    <w:p w14:paraId="2A821E66" w14:textId="77777777" w:rsidR="0065131F" w:rsidRDefault="0065131F" w:rsidP="0065131F">
      <w:pPr>
        <w:spacing w:after="0" w:line="240" w:lineRule="auto"/>
        <w:ind w:firstLine="851"/>
        <w:jc w:val="both"/>
        <w:rPr>
          <w:rFonts w:ascii="Times New Roman" w:hAnsi="Times New Roman" w:cs="Times New Roman"/>
          <w:sz w:val="24"/>
          <w:szCs w:val="24"/>
        </w:rPr>
      </w:pPr>
      <w:r w:rsidRPr="00CA5FD9">
        <w:rPr>
          <w:rFonts w:ascii="Times New Roman" w:hAnsi="Times New Roman" w:cs="Times New Roman"/>
          <w:sz w:val="24"/>
          <w:szCs w:val="24"/>
        </w:rPr>
        <w:t>В настоящее время статьей 10 ГК РФ предусмотрены несколько видов злоупотреблений. Так, законодатель выделяет шикану (осуществление гражданских прав исключительно с намерением причинить вред другому лицу), признаком которой является то, что лицо осуществляющее право, не преследует собственного имущественного интереса. Единственной его целью является причинение вреда другому лицу</w:t>
      </w:r>
      <w:r>
        <w:rPr>
          <w:rFonts w:ascii="Times New Roman" w:hAnsi="Times New Roman" w:cs="Times New Roman"/>
          <w:sz w:val="24"/>
          <w:szCs w:val="24"/>
        </w:rPr>
        <w:t>.</w:t>
      </w:r>
      <w:r w:rsidRPr="00CA5FD9">
        <w:rPr>
          <w:rFonts w:ascii="Times New Roman" w:hAnsi="Times New Roman" w:cs="Times New Roman"/>
          <w:sz w:val="24"/>
          <w:szCs w:val="24"/>
        </w:rPr>
        <w:t xml:space="preserve"> </w:t>
      </w:r>
      <w:r>
        <w:rPr>
          <w:rFonts w:ascii="Times New Roman" w:hAnsi="Times New Roman" w:cs="Times New Roman"/>
          <w:sz w:val="24"/>
          <w:szCs w:val="24"/>
        </w:rPr>
        <w:t xml:space="preserve">«Шикана» </w:t>
      </w:r>
      <w:r w:rsidRPr="00622ED0">
        <w:rPr>
          <w:rFonts w:ascii="Times New Roman" w:hAnsi="Times New Roman" w:cs="Times New Roman"/>
          <w:sz w:val="24"/>
          <w:szCs w:val="24"/>
        </w:rPr>
        <w:t xml:space="preserve">представляет собой наиболее опасный случай осуществления прав с нарушением юридически допустимых пределов, так как направлена исключительно на причинение вреда другому субъекту права.  </w:t>
      </w:r>
    </w:p>
    <w:p w14:paraId="5CD4FC4E" w14:textId="77777777" w:rsidR="0065131F" w:rsidRDefault="0065131F" w:rsidP="0065131F">
      <w:pPr>
        <w:spacing w:after="0" w:line="240" w:lineRule="auto"/>
        <w:ind w:firstLine="851"/>
        <w:jc w:val="both"/>
        <w:rPr>
          <w:rFonts w:ascii="Times New Roman" w:hAnsi="Times New Roman" w:cs="Times New Roman"/>
          <w:sz w:val="24"/>
          <w:szCs w:val="24"/>
        </w:rPr>
      </w:pPr>
      <w:r>
        <w:rPr>
          <w:rFonts w:ascii="Times New Roman" w:hAnsi="Times New Roman" w:cs="Times New Roman"/>
          <w:sz w:val="24"/>
          <w:szCs w:val="24"/>
        </w:rPr>
        <w:lastRenderedPageBreak/>
        <w:t>Современная юридическая литература отмечает факт, что к специальным признакам шиканы складывается неоднозначное отношение:</w:t>
      </w:r>
      <w:r w:rsidRPr="00F11860">
        <w:t xml:space="preserve"> </w:t>
      </w:r>
      <w:r w:rsidRPr="00F11860">
        <w:rPr>
          <w:rFonts w:ascii="Times New Roman" w:hAnsi="Times New Roman" w:cs="Times New Roman"/>
          <w:sz w:val="24"/>
          <w:szCs w:val="24"/>
        </w:rPr>
        <w:t>так, есть признаки, которые почти единогласно поддерживаются всеми учеными, но есть и те, кото</w:t>
      </w:r>
      <w:r>
        <w:rPr>
          <w:rFonts w:ascii="Times New Roman" w:hAnsi="Times New Roman" w:cs="Times New Roman"/>
          <w:sz w:val="24"/>
          <w:szCs w:val="24"/>
        </w:rPr>
        <w:t>рые вызывают значительные споры.</w:t>
      </w:r>
    </w:p>
    <w:p w14:paraId="71E02096" w14:textId="77777777" w:rsidR="0065131F" w:rsidRPr="00622ED0" w:rsidRDefault="0065131F" w:rsidP="0065131F">
      <w:pPr>
        <w:spacing w:after="0" w:line="240" w:lineRule="auto"/>
        <w:ind w:firstLine="851"/>
        <w:jc w:val="both"/>
        <w:rPr>
          <w:rFonts w:ascii="Times New Roman" w:hAnsi="Times New Roman" w:cs="Times New Roman"/>
          <w:sz w:val="24"/>
          <w:szCs w:val="24"/>
        </w:rPr>
      </w:pPr>
      <w:r w:rsidRPr="00622ED0">
        <w:rPr>
          <w:rFonts w:ascii="Times New Roman" w:hAnsi="Times New Roman" w:cs="Times New Roman"/>
          <w:sz w:val="24"/>
          <w:szCs w:val="24"/>
        </w:rPr>
        <w:t xml:space="preserve">Так, например, такой признак, как проявление в виде действий или бездействий практически не вызывает вопросов, несмотря на то, что в последнее время все чаще стали говорить о злоупотреблении правом в форме бездействия, подобных </w:t>
      </w:r>
      <w:r>
        <w:rPr>
          <w:rFonts w:ascii="Times New Roman" w:hAnsi="Times New Roman" w:cs="Times New Roman"/>
          <w:sz w:val="24"/>
          <w:szCs w:val="24"/>
        </w:rPr>
        <w:t>случаев</w:t>
      </w:r>
      <w:r w:rsidRPr="00622ED0">
        <w:rPr>
          <w:rFonts w:ascii="Times New Roman" w:hAnsi="Times New Roman" w:cs="Times New Roman"/>
          <w:sz w:val="24"/>
          <w:szCs w:val="24"/>
        </w:rPr>
        <w:t xml:space="preserve"> шиканы </w:t>
      </w:r>
      <w:r>
        <w:rPr>
          <w:rFonts w:ascii="Times New Roman" w:hAnsi="Times New Roman" w:cs="Times New Roman"/>
          <w:sz w:val="24"/>
          <w:szCs w:val="24"/>
        </w:rPr>
        <w:t xml:space="preserve">в правовой действительности </w:t>
      </w:r>
      <w:r w:rsidRPr="00622ED0">
        <w:rPr>
          <w:rFonts w:ascii="Times New Roman" w:hAnsi="Times New Roman" w:cs="Times New Roman"/>
          <w:sz w:val="24"/>
          <w:szCs w:val="24"/>
        </w:rPr>
        <w:t xml:space="preserve">найти невозможно, из чего следует вывод, что злоупотребить правом исключительно с намерением причинить вред иному лицу </w:t>
      </w:r>
      <w:r>
        <w:rPr>
          <w:rFonts w:ascii="Times New Roman" w:hAnsi="Times New Roman" w:cs="Times New Roman"/>
          <w:sz w:val="24"/>
          <w:szCs w:val="24"/>
        </w:rPr>
        <w:t>вероятно</w:t>
      </w:r>
      <w:r w:rsidRPr="00622ED0">
        <w:rPr>
          <w:rFonts w:ascii="Times New Roman" w:hAnsi="Times New Roman" w:cs="Times New Roman"/>
          <w:sz w:val="24"/>
          <w:szCs w:val="24"/>
        </w:rPr>
        <w:t xml:space="preserve"> лишь в виде активного действия. </w:t>
      </w:r>
    </w:p>
    <w:p w14:paraId="3E4F1C0B" w14:textId="77777777" w:rsidR="0065131F" w:rsidRDefault="0065131F" w:rsidP="0065131F">
      <w:pPr>
        <w:spacing w:after="0" w:line="240" w:lineRule="auto"/>
        <w:ind w:firstLine="851"/>
        <w:jc w:val="both"/>
        <w:rPr>
          <w:rFonts w:ascii="Times New Roman" w:hAnsi="Times New Roman" w:cs="Times New Roman"/>
          <w:sz w:val="24"/>
          <w:szCs w:val="24"/>
        </w:rPr>
      </w:pPr>
      <w:r w:rsidRPr="00622ED0">
        <w:rPr>
          <w:rFonts w:ascii="Times New Roman" w:hAnsi="Times New Roman" w:cs="Times New Roman"/>
          <w:sz w:val="24"/>
          <w:szCs w:val="24"/>
        </w:rPr>
        <w:t>А вокруг такого признака как наличие прямого умысла, направленного на причинение вред</w:t>
      </w:r>
      <w:r>
        <w:rPr>
          <w:rFonts w:ascii="Times New Roman" w:hAnsi="Times New Roman" w:cs="Times New Roman"/>
          <w:sz w:val="24"/>
          <w:szCs w:val="24"/>
        </w:rPr>
        <w:t>а складываются различные споры. Поскольку для шиканы необходима конкретная цель -</w:t>
      </w:r>
      <w:r w:rsidRPr="00AC4748">
        <w:rPr>
          <w:rFonts w:ascii="Times New Roman" w:hAnsi="Times New Roman" w:cs="Times New Roman"/>
          <w:sz w:val="24"/>
          <w:szCs w:val="24"/>
        </w:rPr>
        <w:t xml:space="preserve"> причинение вреда иному лицу</w:t>
      </w:r>
      <w:r>
        <w:rPr>
          <w:rFonts w:ascii="Times New Roman" w:hAnsi="Times New Roman" w:cs="Times New Roman"/>
          <w:sz w:val="24"/>
          <w:szCs w:val="24"/>
        </w:rPr>
        <w:t xml:space="preserve">, то </w:t>
      </w:r>
      <w:r w:rsidRPr="00AC4748">
        <w:rPr>
          <w:rFonts w:ascii="Times New Roman" w:hAnsi="Times New Roman" w:cs="Times New Roman"/>
          <w:sz w:val="24"/>
          <w:szCs w:val="24"/>
        </w:rPr>
        <w:t>эта форма злоупотребления правом не осуществляется при наличии косвенного умысла или неосторожности</w:t>
      </w:r>
      <w:r>
        <w:rPr>
          <w:rFonts w:ascii="Times New Roman" w:hAnsi="Times New Roman" w:cs="Times New Roman"/>
          <w:sz w:val="24"/>
          <w:szCs w:val="24"/>
        </w:rPr>
        <w:t>.</w:t>
      </w:r>
    </w:p>
    <w:p w14:paraId="7BF3AE14" w14:textId="77777777" w:rsidR="0065131F" w:rsidRPr="00622ED0" w:rsidRDefault="0065131F" w:rsidP="0065131F">
      <w:pPr>
        <w:spacing w:after="0" w:line="240" w:lineRule="auto"/>
        <w:ind w:firstLine="851"/>
        <w:jc w:val="both"/>
        <w:rPr>
          <w:rFonts w:ascii="Times New Roman" w:hAnsi="Times New Roman" w:cs="Times New Roman"/>
          <w:sz w:val="24"/>
          <w:szCs w:val="24"/>
        </w:rPr>
      </w:pPr>
      <w:r w:rsidRPr="00622ED0">
        <w:rPr>
          <w:rFonts w:ascii="Times New Roman" w:hAnsi="Times New Roman" w:cs="Times New Roman"/>
          <w:sz w:val="24"/>
          <w:szCs w:val="24"/>
        </w:rPr>
        <w:t xml:space="preserve">В качестве еще одного признака выделяют наличие обязательных негативных последствий для лица, против которого было направлено злоупотребление. </w:t>
      </w:r>
      <w:r>
        <w:rPr>
          <w:rFonts w:ascii="Times New Roman" w:hAnsi="Times New Roman" w:cs="Times New Roman"/>
          <w:sz w:val="24"/>
          <w:szCs w:val="24"/>
        </w:rPr>
        <w:t>Поскольку вполне может произойти ситуация, при которой, не смотря на всю активную деятельность недобросовестного субъекта, негативные последствия могут так и не наступить, то с данным признаком нельзя однозначно согласиться.</w:t>
      </w:r>
      <w:r w:rsidRPr="00AC4748">
        <w:rPr>
          <w:rFonts w:ascii="Times New Roman" w:hAnsi="Times New Roman" w:cs="Times New Roman"/>
          <w:sz w:val="24"/>
          <w:szCs w:val="24"/>
        </w:rPr>
        <w:t xml:space="preserve"> Иными словами, для злоупотребления в форме шиканы достаточно наличие умысла и совершения действия.</w:t>
      </w:r>
    </w:p>
    <w:p w14:paraId="4E6A3E89" w14:textId="77777777" w:rsidR="0065131F" w:rsidRPr="00CA5FD9" w:rsidRDefault="0065131F" w:rsidP="0065131F">
      <w:pPr>
        <w:spacing w:after="0" w:line="240" w:lineRule="auto"/>
        <w:ind w:firstLine="851"/>
        <w:jc w:val="both"/>
        <w:rPr>
          <w:rFonts w:ascii="Times New Roman" w:hAnsi="Times New Roman" w:cs="Times New Roman"/>
          <w:sz w:val="24"/>
          <w:szCs w:val="24"/>
        </w:rPr>
      </w:pPr>
      <w:r w:rsidRPr="00622ED0">
        <w:rPr>
          <w:rFonts w:ascii="Times New Roman" w:hAnsi="Times New Roman" w:cs="Times New Roman"/>
          <w:sz w:val="24"/>
          <w:szCs w:val="24"/>
        </w:rPr>
        <w:t>К счастью, на практике случаи проявления шиканы встречаются достаточно редко, но, все же найти примеры её проявления возможно. Например, в практике нотариусов встречаются случаи, когда должник, злоупотребляя своим правом, вносит денежные средства в депозит нотариуса, при этом, явных доказательств уклонения кредит</w:t>
      </w:r>
      <w:r>
        <w:rPr>
          <w:rFonts w:ascii="Times New Roman" w:hAnsi="Times New Roman" w:cs="Times New Roman"/>
          <w:sz w:val="24"/>
          <w:szCs w:val="24"/>
        </w:rPr>
        <w:t xml:space="preserve">ора от принятия исполнения нет. </w:t>
      </w:r>
      <w:r w:rsidRPr="00622ED0">
        <w:rPr>
          <w:rFonts w:ascii="Times New Roman" w:hAnsi="Times New Roman" w:cs="Times New Roman"/>
          <w:sz w:val="24"/>
          <w:szCs w:val="24"/>
        </w:rPr>
        <w:t>В данном случае речь идет о злоупотреблении правом со стороны должника, предоставляемым ему подпунктом 4 пункта 1 статьи 327 Гражданского кодекса Российской Федерации, которая говорит: «Должник вправе внести причитающиеся с нег</w:t>
      </w:r>
      <w:r>
        <w:rPr>
          <w:rFonts w:ascii="Times New Roman" w:hAnsi="Times New Roman" w:cs="Times New Roman"/>
          <w:sz w:val="24"/>
          <w:szCs w:val="24"/>
        </w:rPr>
        <w:t xml:space="preserve">о деньги в депозит нотариуса </w:t>
      </w:r>
      <w:r w:rsidRPr="00622ED0">
        <w:rPr>
          <w:rFonts w:ascii="Times New Roman" w:hAnsi="Times New Roman" w:cs="Times New Roman"/>
          <w:sz w:val="24"/>
          <w:szCs w:val="24"/>
        </w:rPr>
        <w:t xml:space="preserve">вследствие уклонения кредитора от принятия исполнения или иной просрочки </w:t>
      </w:r>
      <w:r>
        <w:rPr>
          <w:rFonts w:ascii="Times New Roman" w:hAnsi="Times New Roman" w:cs="Times New Roman"/>
          <w:sz w:val="24"/>
          <w:szCs w:val="24"/>
        </w:rPr>
        <w:t xml:space="preserve">с его стороны». </w:t>
      </w:r>
      <w:r w:rsidRPr="00622ED0">
        <w:rPr>
          <w:rFonts w:ascii="Times New Roman" w:hAnsi="Times New Roman" w:cs="Times New Roman"/>
          <w:sz w:val="24"/>
          <w:szCs w:val="24"/>
        </w:rPr>
        <w:t xml:space="preserve">Нотариус не обязан выяснять, действительно ли кредитор уклоняется от принятия исполнения, поэтому, при отсутствии формальных ограничений, по заявлению должника, принимает эти денежные средства в депозит. Это положение вытекает из того, что в большинстве случаев, нотариус объективно не может установить обстоятельства, предусмотренные статьей 327 Гражданского кодекса Российской Федерации, поэтому нотариус оперирует принципом добросовестности участников гражданского оборота и доверяет должнику «на слово».  В случае, когда кредитору срочно необходимы денежные средства и он рассчитывал получить их в определенный день (предусмотренный договором), необходимость проводить операции по снятию денежных средств с депозитного счета нотариуса может вызвать большие проблемы.  В данной ситуации, если кредитор обратится в суд с требованием об уплате процентов по статье 811 Гражданского кодекса Российской Федерации, а должник сошлется на право, предусмотренное статьей 327 Гражданского кодекса Российской Федерации, суд откажет должнику в защите права.  </w:t>
      </w:r>
    </w:p>
    <w:p w14:paraId="5CEDDE9E" w14:textId="77777777" w:rsidR="0065131F" w:rsidRDefault="0065131F" w:rsidP="0065131F">
      <w:pPr>
        <w:spacing w:after="0" w:line="240" w:lineRule="auto"/>
        <w:ind w:firstLine="851"/>
        <w:jc w:val="both"/>
        <w:rPr>
          <w:rFonts w:ascii="Times New Roman" w:hAnsi="Times New Roman" w:cs="Times New Roman"/>
          <w:sz w:val="24"/>
          <w:szCs w:val="24"/>
        </w:rPr>
      </w:pPr>
      <w:r w:rsidRPr="00CA5FD9">
        <w:rPr>
          <w:rFonts w:ascii="Times New Roman" w:hAnsi="Times New Roman" w:cs="Times New Roman"/>
          <w:sz w:val="24"/>
          <w:szCs w:val="24"/>
        </w:rPr>
        <w:t>В качестве других видов злоупотреблений законодатель выделяет использование гражданских прав в целях ограничения конкуренции, а также злоупотребление доминирующим положением на рынке</w:t>
      </w:r>
      <w:r>
        <w:rPr>
          <w:rFonts w:ascii="Times New Roman" w:hAnsi="Times New Roman" w:cs="Times New Roman"/>
          <w:sz w:val="24"/>
          <w:szCs w:val="24"/>
        </w:rPr>
        <w:t xml:space="preserve">, </w:t>
      </w:r>
      <w:r w:rsidRPr="00EE7A69">
        <w:rPr>
          <w:rFonts w:ascii="Times New Roman" w:hAnsi="Times New Roman" w:cs="Times New Roman"/>
          <w:sz w:val="24"/>
          <w:szCs w:val="24"/>
        </w:rPr>
        <w:t>действия в обход закона с противоправной целью, а также иное заведомо недобросовестное осуществление гражданских прав</w:t>
      </w:r>
      <w:r>
        <w:rPr>
          <w:rFonts w:ascii="Times New Roman" w:hAnsi="Times New Roman" w:cs="Times New Roman"/>
          <w:sz w:val="24"/>
          <w:szCs w:val="24"/>
        </w:rPr>
        <w:t>.</w:t>
      </w:r>
    </w:p>
    <w:p w14:paraId="2C822CDD" w14:textId="77777777" w:rsidR="0065131F" w:rsidRDefault="0065131F" w:rsidP="0065131F">
      <w:pPr>
        <w:spacing w:after="0" w:line="240" w:lineRule="auto"/>
        <w:ind w:firstLine="851"/>
        <w:jc w:val="both"/>
        <w:rPr>
          <w:rFonts w:ascii="Times New Roman" w:hAnsi="Times New Roman" w:cs="Times New Roman"/>
          <w:sz w:val="24"/>
          <w:szCs w:val="24"/>
        </w:rPr>
      </w:pPr>
      <w:r>
        <w:rPr>
          <w:rFonts w:ascii="Times New Roman" w:hAnsi="Times New Roman" w:cs="Times New Roman"/>
          <w:sz w:val="24"/>
          <w:szCs w:val="24"/>
        </w:rPr>
        <w:t>З</w:t>
      </w:r>
      <w:r w:rsidRPr="00E312AE">
        <w:rPr>
          <w:rFonts w:ascii="Times New Roman" w:hAnsi="Times New Roman" w:cs="Times New Roman"/>
          <w:sz w:val="24"/>
          <w:szCs w:val="24"/>
        </w:rPr>
        <w:t>лоупотреблени</w:t>
      </w:r>
      <w:r>
        <w:rPr>
          <w:rFonts w:ascii="Times New Roman" w:hAnsi="Times New Roman" w:cs="Times New Roman"/>
          <w:sz w:val="24"/>
          <w:szCs w:val="24"/>
        </w:rPr>
        <w:t>е</w:t>
      </w:r>
      <w:r w:rsidRPr="00E312AE">
        <w:rPr>
          <w:rFonts w:ascii="Times New Roman" w:hAnsi="Times New Roman" w:cs="Times New Roman"/>
          <w:sz w:val="24"/>
          <w:szCs w:val="24"/>
        </w:rPr>
        <w:t xml:space="preserve"> правом в целях ограничение конкуренции и злоупотребление доминирующим положением на рынке в существующей на данный момент правовой </w:t>
      </w:r>
      <w:r>
        <w:rPr>
          <w:rFonts w:ascii="Times New Roman" w:hAnsi="Times New Roman" w:cs="Times New Roman"/>
          <w:sz w:val="24"/>
          <w:szCs w:val="24"/>
        </w:rPr>
        <w:t xml:space="preserve">реальности </w:t>
      </w:r>
      <w:r w:rsidRPr="00E312AE">
        <w:rPr>
          <w:rFonts w:ascii="Times New Roman" w:hAnsi="Times New Roman" w:cs="Times New Roman"/>
          <w:sz w:val="24"/>
          <w:szCs w:val="24"/>
        </w:rPr>
        <w:t>не стоит относить к</w:t>
      </w:r>
      <w:r>
        <w:rPr>
          <w:rFonts w:ascii="Times New Roman" w:hAnsi="Times New Roman" w:cs="Times New Roman"/>
          <w:sz w:val="24"/>
          <w:szCs w:val="24"/>
        </w:rPr>
        <w:t xml:space="preserve"> формам злоупотребления правом, аргументацией такого подхода может служить то, что </w:t>
      </w:r>
      <w:r w:rsidRPr="00E312AE">
        <w:rPr>
          <w:rFonts w:ascii="Times New Roman" w:hAnsi="Times New Roman" w:cs="Times New Roman"/>
          <w:sz w:val="24"/>
          <w:szCs w:val="24"/>
        </w:rPr>
        <w:t>данные деяния были внесены в статью 10 Гражданского кодекса Российской Федерации в начале девяностых годов прошлого столетия, которые д</w:t>
      </w:r>
      <w:r>
        <w:rPr>
          <w:rFonts w:ascii="Times New Roman" w:hAnsi="Times New Roman" w:cs="Times New Roman"/>
          <w:sz w:val="24"/>
          <w:szCs w:val="24"/>
        </w:rPr>
        <w:t>ля России ознаменовались «диким</w:t>
      </w:r>
      <w:r w:rsidRPr="00E312AE">
        <w:rPr>
          <w:rFonts w:ascii="Times New Roman" w:hAnsi="Times New Roman" w:cs="Times New Roman"/>
          <w:sz w:val="24"/>
          <w:szCs w:val="24"/>
        </w:rPr>
        <w:t xml:space="preserve"> капитализмом</w:t>
      </w:r>
      <w:r>
        <w:rPr>
          <w:rFonts w:ascii="Times New Roman" w:hAnsi="Times New Roman" w:cs="Times New Roman"/>
          <w:sz w:val="24"/>
          <w:szCs w:val="24"/>
        </w:rPr>
        <w:t>»</w:t>
      </w:r>
      <w:r w:rsidRPr="00E312AE">
        <w:rPr>
          <w:rFonts w:ascii="Times New Roman" w:hAnsi="Times New Roman" w:cs="Times New Roman"/>
          <w:sz w:val="24"/>
          <w:szCs w:val="24"/>
        </w:rPr>
        <w:t xml:space="preserve">. </w:t>
      </w:r>
      <w:r>
        <w:rPr>
          <w:rFonts w:ascii="Times New Roman" w:hAnsi="Times New Roman" w:cs="Times New Roman"/>
          <w:sz w:val="24"/>
          <w:szCs w:val="24"/>
        </w:rPr>
        <w:t>«</w:t>
      </w:r>
      <w:r w:rsidRPr="00E312AE">
        <w:rPr>
          <w:rFonts w:ascii="Times New Roman" w:hAnsi="Times New Roman" w:cs="Times New Roman"/>
          <w:sz w:val="24"/>
          <w:szCs w:val="24"/>
        </w:rPr>
        <w:t>Дикий капитализм</w:t>
      </w:r>
      <w:r>
        <w:rPr>
          <w:rFonts w:ascii="Times New Roman" w:hAnsi="Times New Roman" w:cs="Times New Roman"/>
          <w:sz w:val="24"/>
          <w:szCs w:val="24"/>
        </w:rPr>
        <w:t xml:space="preserve">» </w:t>
      </w:r>
      <w:r w:rsidRPr="00E312AE">
        <w:rPr>
          <w:rFonts w:ascii="Times New Roman" w:hAnsi="Times New Roman" w:cs="Times New Roman"/>
          <w:sz w:val="24"/>
          <w:szCs w:val="24"/>
        </w:rPr>
        <w:t>-</w:t>
      </w:r>
      <w:r>
        <w:rPr>
          <w:rFonts w:ascii="Times New Roman" w:hAnsi="Times New Roman" w:cs="Times New Roman"/>
          <w:sz w:val="24"/>
          <w:szCs w:val="24"/>
        </w:rPr>
        <w:t xml:space="preserve"> </w:t>
      </w:r>
      <w:r w:rsidRPr="00E312AE">
        <w:rPr>
          <w:rFonts w:ascii="Times New Roman" w:hAnsi="Times New Roman" w:cs="Times New Roman"/>
          <w:sz w:val="24"/>
          <w:szCs w:val="24"/>
        </w:rPr>
        <w:t>это период беззакония, преступности ради прибыли, необузданная коррупция, вхождения преступников во власть.</w:t>
      </w:r>
      <w:r>
        <w:rPr>
          <w:rFonts w:ascii="Times New Roman" w:hAnsi="Times New Roman" w:cs="Times New Roman"/>
          <w:sz w:val="24"/>
          <w:szCs w:val="24"/>
        </w:rPr>
        <w:t xml:space="preserve"> </w:t>
      </w:r>
      <w:r w:rsidRPr="00E312AE">
        <w:rPr>
          <w:rFonts w:ascii="Times New Roman" w:hAnsi="Times New Roman" w:cs="Times New Roman"/>
          <w:sz w:val="24"/>
          <w:szCs w:val="24"/>
        </w:rPr>
        <w:t xml:space="preserve">В </w:t>
      </w:r>
      <w:r>
        <w:rPr>
          <w:rFonts w:ascii="Times New Roman" w:hAnsi="Times New Roman" w:cs="Times New Roman"/>
          <w:sz w:val="24"/>
          <w:szCs w:val="24"/>
        </w:rPr>
        <w:lastRenderedPageBreak/>
        <w:t xml:space="preserve">данный отрезок </w:t>
      </w:r>
      <w:r w:rsidRPr="00E312AE">
        <w:rPr>
          <w:rFonts w:ascii="Times New Roman" w:hAnsi="Times New Roman" w:cs="Times New Roman"/>
          <w:sz w:val="24"/>
          <w:szCs w:val="24"/>
        </w:rPr>
        <w:t>времени рынок сильно нуждался в нормативном регулировании</w:t>
      </w:r>
      <w:r>
        <w:rPr>
          <w:rFonts w:ascii="Times New Roman" w:hAnsi="Times New Roman" w:cs="Times New Roman"/>
          <w:sz w:val="24"/>
          <w:szCs w:val="24"/>
        </w:rPr>
        <w:t xml:space="preserve"> данной группы правоотношений</w:t>
      </w:r>
      <w:r w:rsidRPr="00E312AE">
        <w:rPr>
          <w:rFonts w:ascii="Times New Roman" w:hAnsi="Times New Roman" w:cs="Times New Roman"/>
          <w:sz w:val="24"/>
          <w:szCs w:val="24"/>
        </w:rPr>
        <w:t>, однако возможности быстро подготовить</w:t>
      </w:r>
      <w:r>
        <w:rPr>
          <w:rFonts w:ascii="Times New Roman" w:hAnsi="Times New Roman" w:cs="Times New Roman"/>
          <w:sz w:val="24"/>
          <w:szCs w:val="24"/>
        </w:rPr>
        <w:t xml:space="preserve"> и реализовать</w:t>
      </w:r>
      <w:r w:rsidRPr="00E312AE">
        <w:rPr>
          <w:rFonts w:ascii="Times New Roman" w:hAnsi="Times New Roman" w:cs="Times New Roman"/>
          <w:sz w:val="24"/>
          <w:szCs w:val="24"/>
        </w:rPr>
        <w:t xml:space="preserve"> полноценный нормативный акт, который бы взял на себя эту задачу, не было (впоследствии им стал Федеральный закон </w:t>
      </w:r>
      <w:r>
        <w:rPr>
          <w:rFonts w:ascii="Times New Roman" w:hAnsi="Times New Roman" w:cs="Times New Roman"/>
          <w:sz w:val="24"/>
          <w:szCs w:val="24"/>
        </w:rPr>
        <w:t>«</w:t>
      </w:r>
      <w:r w:rsidRPr="00E312AE">
        <w:rPr>
          <w:rFonts w:ascii="Times New Roman" w:hAnsi="Times New Roman" w:cs="Times New Roman"/>
          <w:sz w:val="24"/>
          <w:szCs w:val="24"/>
        </w:rPr>
        <w:t>О защите конкуренции</w:t>
      </w:r>
      <w:r>
        <w:rPr>
          <w:rFonts w:ascii="Times New Roman" w:hAnsi="Times New Roman" w:cs="Times New Roman"/>
          <w:sz w:val="24"/>
          <w:szCs w:val="24"/>
        </w:rPr>
        <w:t>»</w:t>
      </w:r>
      <w:r w:rsidRPr="00E312AE">
        <w:rPr>
          <w:rFonts w:ascii="Times New Roman" w:hAnsi="Times New Roman" w:cs="Times New Roman"/>
          <w:sz w:val="24"/>
          <w:szCs w:val="24"/>
        </w:rPr>
        <w:t xml:space="preserve"> от 26.07.2006 N 135-ФЗ). </w:t>
      </w:r>
    </w:p>
    <w:p w14:paraId="18FFEF7B" w14:textId="77777777" w:rsidR="0065131F" w:rsidRPr="00E312AE" w:rsidRDefault="0065131F" w:rsidP="0065131F">
      <w:pPr>
        <w:spacing w:after="0" w:line="240" w:lineRule="auto"/>
        <w:ind w:firstLine="851"/>
        <w:jc w:val="both"/>
        <w:rPr>
          <w:rFonts w:ascii="Times New Roman" w:hAnsi="Times New Roman" w:cs="Times New Roman"/>
          <w:sz w:val="24"/>
          <w:szCs w:val="24"/>
        </w:rPr>
      </w:pPr>
      <w:r w:rsidRPr="00E312AE">
        <w:rPr>
          <w:rFonts w:ascii="Times New Roman" w:hAnsi="Times New Roman" w:cs="Times New Roman"/>
          <w:sz w:val="24"/>
          <w:szCs w:val="24"/>
        </w:rPr>
        <w:t xml:space="preserve">И именно из-за этого, чтобы хоть как-то урегулировать рыночные отношения, было принято решение упомянуть данные деяния в контексте злоупотребления правом. На сегодняшний же день, существует нормативно-правовой акт, дающий более подробное описание данных деяний и регулирующий деятельность их субъектов, что говорит об отсутствии необходимости их упоминания в статье 10 Гражданского кодекса Российской Федерации.  </w:t>
      </w:r>
    </w:p>
    <w:p w14:paraId="2D930951" w14:textId="77777777" w:rsidR="0065131F" w:rsidRPr="00C27741" w:rsidRDefault="0065131F" w:rsidP="0065131F">
      <w:pPr>
        <w:spacing w:after="0" w:line="240" w:lineRule="auto"/>
        <w:ind w:firstLine="851"/>
        <w:jc w:val="both"/>
        <w:rPr>
          <w:rFonts w:ascii="Times New Roman" w:hAnsi="Times New Roman" w:cs="Times New Roman"/>
          <w:sz w:val="24"/>
          <w:szCs w:val="24"/>
        </w:rPr>
      </w:pPr>
      <w:r>
        <w:rPr>
          <w:rFonts w:ascii="Times New Roman" w:hAnsi="Times New Roman" w:cs="Times New Roman"/>
          <w:sz w:val="24"/>
          <w:szCs w:val="24"/>
        </w:rPr>
        <w:t xml:space="preserve">Безусловно, данная позиция имеет логику в своей аргументации, но, статья 10 Гражданского кодекса Российской Федерации все еще содержит </w:t>
      </w:r>
      <w:r w:rsidRPr="007C0D77">
        <w:rPr>
          <w:rFonts w:ascii="Times New Roman" w:hAnsi="Times New Roman" w:cs="Times New Roman"/>
          <w:sz w:val="24"/>
          <w:szCs w:val="24"/>
        </w:rPr>
        <w:t>абзац об ограничении конкуренции и злоупотреблении доминирующем положении на рынке, а это значит, что просто так вычеркнуть их из числа форм злоупотребления правом мы не можем.</w:t>
      </w:r>
    </w:p>
    <w:p w14:paraId="7CD934C6" w14:textId="77777777" w:rsidR="0065131F" w:rsidRDefault="0065131F" w:rsidP="0065131F">
      <w:pPr>
        <w:spacing w:after="0"/>
        <w:ind w:firstLine="851"/>
        <w:jc w:val="both"/>
        <w:rPr>
          <w:rFonts w:ascii="Times New Roman" w:hAnsi="Times New Roman" w:cs="Times New Roman"/>
          <w:sz w:val="24"/>
          <w:szCs w:val="24"/>
        </w:rPr>
      </w:pPr>
      <w:r>
        <w:rPr>
          <w:rFonts w:ascii="Times New Roman" w:hAnsi="Times New Roman" w:cs="Times New Roman"/>
          <w:sz w:val="24"/>
          <w:szCs w:val="24"/>
        </w:rPr>
        <w:t>Следующий вид злоупотребления правом - о</w:t>
      </w:r>
      <w:r w:rsidRPr="00C27741">
        <w:rPr>
          <w:rFonts w:ascii="Times New Roman" w:hAnsi="Times New Roman" w:cs="Times New Roman"/>
          <w:sz w:val="24"/>
          <w:szCs w:val="24"/>
        </w:rPr>
        <w:t xml:space="preserve">бход закона - это всегда обход какого-либо установленного, действующего запрета лицом, которое преследует противоправную цель. </w:t>
      </w:r>
    </w:p>
    <w:p w14:paraId="33CA93A8" w14:textId="77777777" w:rsidR="0065131F" w:rsidRDefault="0065131F" w:rsidP="0065131F">
      <w:pPr>
        <w:spacing w:after="0"/>
        <w:ind w:firstLine="851"/>
        <w:jc w:val="both"/>
        <w:rPr>
          <w:rFonts w:ascii="Times New Roman" w:hAnsi="Times New Roman" w:cs="Times New Roman"/>
          <w:sz w:val="24"/>
          <w:szCs w:val="24"/>
        </w:rPr>
      </w:pPr>
      <w:r w:rsidRPr="004266F0">
        <w:rPr>
          <w:rFonts w:ascii="Times New Roman" w:hAnsi="Times New Roman" w:cs="Times New Roman"/>
          <w:sz w:val="24"/>
          <w:szCs w:val="24"/>
        </w:rPr>
        <w:t xml:space="preserve">При обходе закона эксплуатируется формализм права в его высшем понимании. В этой сфере злоупотреблений уровень используемой правовой неопределенности наименьший, а уровень правовой изощренности злоупотребляющих правом лиц наивысший. Вот почему обход закона так сложно выявить на практике и ограничить от других форм злоупотребления правами.  </w:t>
      </w:r>
    </w:p>
    <w:p w14:paraId="7D8F5417" w14:textId="77777777" w:rsidR="0065131F" w:rsidRPr="00C27741" w:rsidRDefault="0065131F" w:rsidP="0065131F">
      <w:pPr>
        <w:spacing w:after="0"/>
        <w:ind w:firstLine="851"/>
        <w:jc w:val="both"/>
        <w:rPr>
          <w:rFonts w:ascii="Times New Roman" w:hAnsi="Times New Roman" w:cs="Times New Roman"/>
          <w:sz w:val="24"/>
          <w:szCs w:val="24"/>
        </w:rPr>
      </w:pPr>
      <w:r>
        <w:rPr>
          <w:rFonts w:ascii="Times New Roman" w:hAnsi="Times New Roman" w:cs="Times New Roman"/>
          <w:sz w:val="24"/>
          <w:szCs w:val="24"/>
        </w:rPr>
        <w:t>Известен факт того, что социальные отношения в обществе с каждым днем совершенствуются.</w:t>
      </w:r>
      <w:r w:rsidRPr="004266F0">
        <w:rPr>
          <w:rFonts w:ascii="Times New Roman" w:hAnsi="Times New Roman" w:cs="Times New Roman"/>
          <w:sz w:val="24"/>
          <w:szCs w:val="24"/>
        </w:rPr>
        <w:t xml:space="preserve"> Государство, выполняя свою обязанность, издает множество нормативно-правовых актов, которые существенным образом должны отразиться на подобного рода отношений. Но далеко не всегда, законодателю удается охватить те или иные сферы жизнедеятельности общества В таких случаях и возникают пробелы в праве.</w:t>
      </w:r>
      <w:r>
        <w:rPr>
          <w:rFonts w:ascii="Times New Roman" w:hAnsi="Times New Roman" w:cs="Times New Roman"/>
          <w:sz w:val="24"/>
          <w:szCs w:val="24"/>
        </w:rPr>
        <w:t xml:space="preserve"> Например, о</w:t>
      </w:r>
      <w:r w:rsidRPr="00C27741">
        <w:rPr>
          <w:rFonts w:ascii="Times New Roman" w:hAnsi="Times New Roman" w:cs="Times New Roman"/>
          <w:sz w:val="24"/>
          <w:szCs w:val="24"/>
        </w:rPr>
        <w:t xml:space="preserve">бойти закон возможно при помощи фидуциарных сделок (т.е. с использованием подставных лиц). </w:t>
      </w:r>
      <w:r>
        <w:rPr>
          <w:rFonts w:ascii="Times New Roman" w:hAnsi="Times New Roman" w:cs="Times New Roman"/>
          <w:sz w:val="24"/>
          <w:szCs w:val="24"/>
        </w:rPr>
        <w:t>Или же пример того, как</w:t>
      </w:r>
      <w:r w:rsidRPr="00C27741">
        <w:rPr>
          <w:rFonts w:ascii="Times New Roman" w:hAnsi="Times New Roman" w:cs="Times New Roman"/>
          <w:sz w:val="24"/>
          <w:szCs w:val="24"/>
        </w:rPr>
        <w:t xml:space="preserve"> недобросовестные чиновники покупают имущество на родственников или переводят на них результат своей предпринимательской деятельности. Нарушители зачастую обходят закон, пользуясь частичным или полным отсутствием нормы. С этим необходимо бороться. Пробелы в праве должны устраняться законодателем при случае их обнаружения, но пробел возможно преодолеть и в процессе реализации права (аналогия права, аналогия закона).</w:t>
      </w:r>
    </w:p>
    <w:p w14:paraId="7E9A022B" w14:textId="77777777" w:rsidR="0065131F" w:rsidRPr="004266F0" w:rsidRDefault="0065131F" w:rsidP="0065131F">
      <w:pPr>
        <w:spacing w:after="0"/>
        <w:ind w:firstLine="851"/>
        <w:jc w:val="both"/>
        <w:rPr>
          <w:rFonts w:ascii="Times New Roman" w:hAnsi="Times New Roman" w:cs="Times New Roman"/>
          <w:sz w:val="24"/>
          <w:szCs w:val="24"/>
        </w:rPr>
      </w:pPr>
      <w:r w:rsidRPr="004266F0">
        <w:rPr>
          <w:rFonts w:ascii="Times New Roman" w:hAnsi="Times New Roman" w:cs="Times New Roman"/>
          <w:sz w:val="24"/>
          <w:szCs w:val="24"/>
        </w:rPr>
        <w:t>Стоит отметить, что, не</w:t>
      </w:r>
      <w:r>
        <w:rPr>
          <w:rFonts w:ascii="Times New Roman" w:hAnsi="Times New Roman" w:cs="Times New Roman"/>
          <w:sz w:val="24"/>
          <w:szCs w:val="24"/>
        </w:rPr>
        <w:t xml:space="preserve"> </w:t>
      </w:r>
      <w:r w:rsidRPr="004266F0">
        <w:rPr>
          <w:rFonts w:ascii="Times New Roman" w:hAnsi="Times New Roman" w:cs="Times New Roman"/>
          <w:sz w:val="24"/>
          <w:szCs w:val="24"/>
        </w:rPr>
        <w:t xml:space="preserve">смотря на Информационное письмо Президиума Высшего Арбитражного Суда Российской Федерации от 25 ноября 2008 N127 «Обзор практики применения арбитражными судами статьи 10 Гражданского кодекса Российской Федерации», в котором судам было разрешено применять положения статьи 10 Гражданского кодекса Российской Федерации по собственной инициативе,  в нынешней отечественной судебной практике еще не устоялись четкие квалифицирующие признаки, что не позволяет однозначно относить те или иные действия к действиям в обход закона. </w:t>
      </w:r>
    </w:p>
    <w:p w14:paraId="755229B9" w14:textId="77777777" w:rsidR="0065131F" w:rsidRDefault="0065131F" w:rsidP="0065131F">
      <w:pPr>
        <w:spacing w:after="0"/>
        <w:ind w:firstLine="851"/>
        <w:jc w:val="both"/>
        <w:rPr>
          <w:rFonts w:ascii="Times New Roman" w:hAnsi="Times New Roman" w:cs="Times New Roman"/>
          <w:sz w:val="24"/>
          <w:szCs w:val="24"/>
        </w:rPr>
      </w:pPr>
      <w:r w:rsidRPr="004266F0">
        <w:rPr>
          <w:rFonts w:ascii="Times New Roman" w:hAnsi="Times New Roman" w:cs="Times New Roman"/>
          <w:sz w:val="24"/>
          <w:szCs w:val="24"/>
        </w:rPr>
        <w:t>В качестве друг</w:t>
      </w:r>
      <w:r>
        <w:rPr>
          <w:rFonts w:ascii="Times New Roman" w:hAnsi="Times New Roman" w:cs="Times New Roman"/>
          <w:sz w:val="24"/>
          <w:szCs w:val="24"/>
        </w:rPr>
        <w:t xml:space="preserve">ого </w:t>
      </w:r>
      <w:r w:rsidRPr="004266F0">
        <w:rPr>
          <w:rFonts w:ascii="Times New Roman" w:hAnsi="Times New Roman" w:cs="Times New Roman"/>
          <w:sz w:val="24"/>
          <w:szCs w:val="24"/>
        </w:rPr>
        <w:t>вид</w:t>
      </w:r>
      <w:r>
        <w:rPr>
          <w:rFonts w:ascii="Times New Roman" w:hAnsi="Times New Roman" w:cs="Times New Roman"/>
          <w:sz w:val="24"/>
          <w:szCs w:val="24"/>
        </w:rPr>
        <w:t>а</w:t>
      </w:r>
      <w:r w:rsidRPr="004266F0">
        <w:rPr>
          <w:rFonts w:ascii="Times New Roman" w:hAnsi="Times New Roman" w:cs="Times New Roman"/>
          <w:sz w:val="24"/>
          <w:szCs w:val="24"/>
        </w:rPr>
        <w:t xml:space="preserve"> злоупотреблени</w:t>
      </w:r>
      <w:r>
        <w:rPr>
          <w:rFonts w:ascii="Times New Roman" w:hAnsi="Times New Roman" w:cs="Times New Roman"/>
          <w:sz w:val="24"/>
          <w:szCs w:val="24"/>
        </w:rPr>
        <w:t xml:space="preserve">я </w:t>
      </w:r>
      <w:r w:rsidRPr="004266F0">
        <w:rPr>
          <w:rFonts w:ascii="Times New Roman" w:hAnsi="Times New Roman" w:cs="Times New Roman"/>
          <w:sz w:val="24"/>
          <w:szCs w:val="24"/>
        </w:rPr>
        <w:t>законодатель выделяет</w:t>
      </w:r>
      <w:r>
        <w:rPr>
          <w:rFonts w:ascii="Times New Roman" w:hAnsi="Times New Roman" w:cs="Times New Roman"/>
          <w:sz w:val="24"/>
          <w:szCs w:val="24"/>
        </w:rPr>
        <w:t xml:space="preserve"> </w:t>
      </w:r>
      <w:r w:rsidRPr="004266F0">
        <w:rPr>
          <w:rFonts w:ascii="Times New Roman" w:hAnsi="Times New Roman" w:cs="Times New Roman"/>
          <w:sz w:val="24"/>
          <w:szCs w:val="24"/>
        </w:rPr>
        <w:t>иное заведомо недобросовестное осуществление гражданских прав.</w:t>
      </w:r>
    </w:p>
    <w:p w14:paraId="6C179305" w14:textId="77777777" w:rsidR="0065131F" w:rsidRDefault="0065131F" w:rsidP="0065131F">
      <w:pPr>
        <w:spacing w:after="0"/>
        <w:ind w:firstLine="851"/>
        <w:jc w:val="both"/>
        <w:rPr>
          <w:rFonts w:ascii="Times New Roman" w:hAnsi="Times New Roman" w:cs="Times New Roman"/>
          <w:sz w:val="24"/>
          <w:szCs w:val="24"/>
        </w:rPr>
      </w:pPr>
      <w:r w:rsidRPr="005813EA">
        <w:rPr>
          <w:rFonts w:ascii="Times New Roman" w:hAnsi="Times New Roman" w:cs="Times New Roman"/>
          <w:sz w:val="24"/>
          <w:szCs w:val="24"/>
        </w:rPr>
        <w:t xml:space="preserve">Статья 10 Гражданского кодекса </w:t>
      </w:r>
      <w:r>
        <w:rPr>
          <w:rFonts w:ascii="Times New Roman" w:hAnsi="Times New Roman" w:cs="Times New Roman"/>
          <w:sz w:val="24"/>
          <w:szCs w:val="24"/>
        </w:rPr>
        <w:t>РФ</w:t>
      </w:r>
      <w:r w:rsidRPr="005813EA">
        <w:rPr>
          <w:rFonts w:ascii="Times New Roman" w:hAnsi="Times New Roman" w:cs="Times New Roman"/>
          <w:sz w:val="24"/>
          <w:szCs w:val="24"/>
        </w:rPr>
        <w:t xml:space="preserve"> говорит и о запрете на иное заведомо недобросовестное осуществление гражданских прав, </w:t>
      </w:r>
      <w:r>
        <w:rPr>
          <w:rFonts w:ascii="Times New Roman" w:hAnsi="Times New Roman" w:cs="Times New Roman"/>
          <w:sz w:val="24"/>
          <w:szCs w:val="24"/>
        </w:rPr>
        <w:t xml:space="preserve">насколько известно, </w:t>
      </w:r>
      <w:r w:rsidRPr="005813EA">
        <w:rPr>
          <w:rFonts w:ascii="Times New Roman" w:hAnsi="Times New Roman" w:cs="Times New Roman"/>
          <w:sz w:val="24"/>
          <w:szCs w:val="24"/>
        </w:rPr>
        <w:t xml:space="preserve">данный список форм не является исчерпывающим, законодатель предполагает существование или возможное появление новых форм злоупотребления гражданскими правами.  </w:t>
      </w:r>
    </w:p>
    <w:p w14:paraId="5F70078C" w14:textId="77777777" w:rsidR="0065131F" w:rsidRDefault="0065131F" w:rsidP="0065131F">
      <w:pPr>
        <w:spacing w:after="0"/>
        <w:ind w:firstLine="851"/>
        <w:jc w:val="both"/>
        <w:rPr>
          <w:rFonts w:ascii="Times New Roman" w:hAnsi="Times New Roman" w:cs="Times New Roman"/>
          <w:sz w:val="24"/>
          <w:szCs w:val="24"/>
        </w:rPr>
      </w:pPr>
      <w:r>
        <w:rPr>
          <w:rFonts w:ascii="Times New Roman" w:hAnsi="Times New Roman" w:cs="Times New Roman"/>
          <w:sz w:val="24"/>
          <w:szCs w:val="24"/>
        </w:rPr>
        <w:t xml:space="preserve">Вводя такую, размытую конструкцию, законодатель инициировал появление огромного количества вариации её толковая. Современные цивилисты России начали </w:t>
      </w:r>
      <w:r>
        <w:rPr>
          <w:rFonts w:ascii="Times New Roman" w:hAnsi="Times New Roman" w:cs="Times New Roman"/>
          <w:sz w:val="24"/>
          <w:szCs w:val="24"/>
        </w:rPr>
        <w:lastRenderedPageBreak/>
        <w:t>выдвигать различные версии того, что же все-таки имелось ввиду под словами «</w:t>
      </w:r>
      <w:r w:rsidRPr="005813EA">
        <w:rPr>
          <w:rFonts w:ascii="Times New Roman" w:hAnsi="Times New Roman" w:cs="Times New Roman"/>
          <w:sz w:val="24"/>
          <w:szCs w:val="24"/>
        </w:rPr>
        <w:t xml:space="preserve">«иное заведомо недобросовестное осуществление гражданских прав».  </w:t>
      </w:r>
    </w:p>
    <w:p w14:paraId="67DE72E1" w14:textId="77777777" w:rsidR="0065131F" w:rsidRPr="005813EA" w:rsidRDefault="0065131F" w:rsidP="0065131F">
      <w:pPr>
        <w:spacing w:after="0"/>
        <w:ind w:firstLine="851"/>
        <w:jc w:val="both"/>
        <w:rPr>
          <w:rFonts w:ascii="Times New Roman" w:hAnsi="Times New Roman" w:cs="Times New Roman"/>
          <w:sz w:val="24"/>
          <w:szCs w:val="24"/>
        </w:rPr>
      </w:pPr>
      <w:r>
        <w:rPr>
          <w:rFonts w:ascii="Times New Roman" w:hAnsi="Times New Roman" w:cs="Times New Roman"/>
          <w:sz w:val="24"/>
          <w:szCs w:val="24"/>
        </w:rPr>
        <w:t>По одной из версий, к иным формам злоупотребления правом следует отнести случаи, о которых говориться, например, в ст.26 Гражданского кодекса РФ (</w:t>
      </w:r>
      <w:r>
        <w:rPr>
          <w:rFonts w:ascii="Times New Roman" w:hAnsi="Times New Roman" w:cs="Times New Roman"/>
          <w:bCs/>
          <w:sz w:val="24"/>
          <w:szCs w:val="24"/>
        </w:rPr>
        <w:t>д</w:t>
      </w:r>
      <w:r w:rsidRPr="005813EA">
        <w:rPr>
          <w:rFonts w:ascii="Times New Roman" w:hAnsi="Times New Roman" w:cs="Times New Roman"/>
          <w:bCs/>
          <w:sz w:val="24"/>
          <w:szCs w:val="24"/>
        </w:rPr>
        <w:t>ееспособность несовершеннолетних в возрасте от четырнадцати до восемнадцати лет</w:t>
      </w:r>
      <w:r>
        <w:rPr>
          <w:rFonts w:ascii="Times New Roman" w:hAnsi="Times New Roman" w:cs="Times New Roman"/>
          <w:bCs/>
          <w:sz w:val="24"/>
          <w:szCs w:val="24"/>
        </w:rPr>
        <w:t>), ст</w:t>
      </w:r>
      <w:r>
        <w:rPr>
          <w:rFonts w:ascii="Times New Roman" w:hAnsi="Times New Roman" w:cs="Times New Roman"/>
          <w:sz w:val="24"/>
          <w:szCs w:val="24"/>
        </w:rPr>
        <w:t xml:space="preserve">. 30 </w:t>
      </w:r>
      <w:r w:rsidRPr="005813EA">
        <w:rPr>
          <w:rFonts w:ascii="Times New Roman" w:hAnsi="Times New Roman" w:cs="Times New Roman"/>
          <w:sz w:val="24"/>
          <w:szCs w:val="24"/>
        </w:rPr>
        <w:t xml:space="preserve">Гражданского кодекса РФ </w:t>
      </w:r>
      <w:r>
        <w:rPr>
          <w:rFonts w:ascii="Times New Roman" w:hAnsi="Times New Roman" w:cs="Times New Roman"/>
          <w:sz w:val="24"/>
          <w:szCs w:val="24"/>
        </w:rPr>
        <w:t>(О</w:t>
      </w:r>
      <w:r w:rsidRPr="005813EA">
        <w:rPr>
          <w:rFonts w:ascii="Times New Roman" w:hAnsi="Times New Roman" w:cs="Times New Roman"/>
          <w:sz w:val="24"/>
          <w:szCs w:val="24"/>
        </w:rPr>
        <w:t xml:space="preserve">граничение дееспособности </w:t>
      </w:r>
      <w:r>
        <w:rPr>
          <w:rFonts w:ascii="Times New Roman" w:hAnsi="Times New Roman" w:cs="Times New Roman"/>
          <w:sz w:val="24"/>
          <w:szCs w:val="24"/>
        </w:rPr>
        <w:t xml:space="preserve">гражданина) </w:t>
      </w:r>
      <w:r w:rsidRPr="005813EA">
        <w:rPr>
          <w:rFonts w:ascii="Times New Roman" w:hAnsi="Times New Roman" w:cs="Times New Roman"/>
          <w:sz w:val="24"/>
          <w:szCs w:val="24"/>
        </w:rPr>
        <w:t xml:space="preserve">и в других статьях Гражданского кодекса Российской Федерации. Отождествление при этом производится по признаку нарушения экономического назначения того или иного имущества. Другая причина, по которой авторы объединяют шесть перечисленных статей Гражданского кодекса Российской Федерации в единую категорию «иных форм злоупотреблений гражданским правом», состоит в том, что во всех этих статьях негативным последствием, наступающим для субъекта права, является лишение тем или иным способом гражданского права, используемого в качестве средства совершения вредоносных действий. </w:t>
      </w:r>
    </w:p>
    <w:p w14:paraId="5BEA0697" w14:textId="77777777" w:rsidR="0065131F" w:rsidRPr="005813EA" w:rsidRDefault="0065131F" w:rsidP="0065131F">
      <w:pPr>
        <w:spacing w:after="0"/>
        <w:ind w:firstLine="851"/>
        <w:jc w:val="both"/>
        <w:rPr>
          <w:rFonts w:ascii="Times New Roman" w:hAnsi="Times New Roman" w:cs="Times New Roman"/>
          <w:sz w:val="24"/>
          <w:szCs w:val="24"/>
        </w:rPr>
      </w:pPr>
      <w:r w:rsidRPr="005813EA">
        <w:rPr>
          <w:rFonts w:ascii="Times New Roman" w:hAnsi="Times New Roman" w:cs="Times New Roman"/>
          <w:sz w:val="24"/>
          <w:szCs w:val="24"/>
        </w:rPr>
        <w:t xml:space="preserve">Самой популярно же версией является та, в которой говорится, что законодатель фразой «иное заведомо недобросовестное осуществление гражданских прав» пытался сказать, что в силу своей социальной природы, явление злоупотребления правом невозможно полностью описать, перечислив все многообразие форм его проявления. В любом случае, общество будет развиваться, будут появляться новые общественные отношения, которые будут регулироваться новыми правовыми нормами, а это значит, что у человека неизбежно </w:t>
      </w:r>
      <w:r>
        <w:rPr>
          <w:rFonts w:ascii="Times New Roman" w:hAnsi="Times New Roman" w:cs="Times New Roman"/>
          <w:sz w:val="24"/>
          <w:szCs w:val="24"/>
        </w:rPr>
        <w:t>будут появляться права, которые</w:t>
      </w:r>
      <w:r w:rsidRPr="005813EA">
        <w:rPr>
          <w:rFonts w:ascii="Times New Roman" w:hAnsi="Times New Roman" w:cs="Times New Roman"/>
          <w:sz w:val="24"/>
          <w:szCs w:val="24"/>
        </w:rPr>
        <w:t xml:space="preserve"> можно будет (фактически, но, конечно, неправомерно) использовать недобросовестно.  </w:t>
      </w:r>
    </w:p>
    <w:p w14:paraId="3C0BBB6D" w14:textId="77777777" w:rsidR="0065131F" w:rsidRDefault="0065131F" w:rsidP="0065131F">
      <w:pPr>
        <w:spacing w:after="0"/>
        <w:ind w:firstLine="851"/>
        <w:jc w:val="both"/>
        <w:rPr>
          <w:rFonts w:ascii="Times New Roman" w:hAnsi="Times New Roman" w:cs="Times New Roman"/>
          <w:sz w:val="24"/>
          <w:szCs w:val="24"/>
        </w:rPr>
      </w:pPr>
      <w:r>
        <w:rPr>
          <w:rFonts w:ascii="Times New Roman" w:hAnsi="Times New Roman" w:cs="Times New Roman"/>
          <w:sz w:val="24"/>
          <w:szCs w:val="24"/>
        </w:rPr>
        <w:t xml:space="preserve">Несомненно, </w:t>
      </w:r>
      <w:r w:rsidRPr="005813EA">
        <w:rPr>
          <w:rFonts w:ascii="Times New Roman" w:hAnsi="Times New Roman" w:cs="Times New Roman"/>
          <w:sz w:val="24"/>
          <w:szCs w:val="24"/>
        </w:rPr>
        <w:t xml:space="preserve">такой подход является наиболее правильным. </w:t>
      </w:r>
      <w:r>
        <w:rPr>
          <w:rFonts w:ascii="Times New Roman" w:hAnsi="Times New Roman" w:cs="Times New Roman"/>
          <w:sz w:val="24"/>
          <w:szCs w:val="24"/>
        </w:rPr>
        <w:t>Так, в</w:t>
      </w:r>
      <w:r w:rsidRPr="005813EA">
        <w:rPr>
          <w:rFonts w:ascii="Times New Roman" w:hAnsi="Times New Roman" w:cs="Times New Roman"/>
          <w:sz w:val="24"/>
          <w:szCs w:val="24"/>
        </w:rPr>
        <w:t xml:space="preserve"> качестве </w:t>
      </w:r>
      <w:r>
        <w:rPr>
          <w:rFonts w:ascii="Times New Roman" w:hAnsi="Times New Roman" w:cs="Times New Roman"/>
          <w:sz w:val="24"/>
          <w:szCs w:val="24"/>
        </w:rPr>
        <w:t xml:space="preserve">доказательства в обоснование своей позиции, </w:t>
      </w:r>
      <w:r w:rsidRPr="005813EA">
        <w:rPr>
          <w:rFonts w:ascii="Times New Roman" w:hAnsi="Times New Roman" w:cs="Times New Roman"/>
          <w:sz w:val="24"/>
          <w:szCs w:val="24"/>
        </w:rPr>
        <w:t xml:space="preserve">можно привести объективно существующую практику судебных дел, из которой видно, что существуют случаи злоупотребления правом, неподходящие ни под одну из форм, перечисленных в законе, но, тем не менее, рассматриваемые судами как таковые.  </w:t>
      </w:r>
    </w:p>
    <w:p w14:paraId="29222602" w14:textId="77777777" w:rsidR="0065131F" w:rsidRPr="00EE7A69" w:rsidRDefault="0065131F" w:rsidP="0065131F">
      <w:pPr>
        <w:spacing w:after="0"/>
        <w:ind w:firstLine="851"/>
        <w:jc w:val="both"/>
        <w:rPr>
          <w:rFonts w:ascii="Times New Roman" w:hAnsi="Times New Roman" w:cs="Times New Roman"/>
          <w:sz w:val="24"/>
          <w:szCs w:val="24"/>
        </w:rPr>
      </w:pPr>
      <w:r>
        <w:rPr>
          <w:rFonts w:ascii="Times New Roman" w:hAnsi="Times New Roman" w:cs="Times New Roman"/>
          <w:sz w:val="24"/>
          <w:szCs w:val="24"/>
        </w:rPr>
        <w:t>Факт того, что перечень</w:t>
      </w:r>
      <w:r w:rsidRPr="00EE7A69">
        <w:rPr>
          <w:rFonts w:ascii="Times New Roman" w:hAnsi="Times New Roman" w:cs="Times New Roman"/>
          <w:sz w:val="24"/>
          <w:szCs w:val="24"/>
        </w:rPr>
        <w:t xml:space="preserve"> недобросовестного поведения, </w:t>
      </w:r>
      <w:r>
        <w:rPr>
          <w:rFonts w:ascii="Times New Roman" w:hAnsi="Times New Roman" w:cs="Times New Roman"/>
          <w:sz w:val="24"/>
          <w:szCs w:val="24"/>
        </w:rPr>
        <w:t xml:space="preserve">который определен </w:t>
      </w:r>
      <w:r w:rsidRPr="00EE7A69">
        <w:rPr>
          <w:rFonts w:ascii="Times New Roman" w:hAnsi="Times New Roman" w:cs="Times New Roman"/>
          <w:sz w:val="24"/>
          <w:szCs w:val="24"/>
        </w:rPr>
        <w:t>ст. 10 ГК РФ, является открытым, что позволяет судам применять рассматриваемую норму к широкому кругу правоотношений.</w:t>
      </w:r>
      <w:r>
        <w:rPr>
          <w:rFonts w:ascii="Times New Roman" w:hAnsi="Times New Roman" w:cs="Times New Roman"/>
          <w:sz w:val="24"/>
          <w:szCs w:val="24"/>
        </w:rPr>
        <w:t xml:space="preserve"> Безусловно, факт возможности широкого толкования и, в последующем, применения нормы, вызывает ряд недовольств недобросовестных участников гражданских правоотношений, </w:t>
      </w:r>
      <w:r w:rsidRPr="00EE7A69">
        <w:rPr>
          <w:rFonts w:ascii="Times New Roman" w:hAnsi="Times New Roman" w:cs="Times New Roman"/>
          <w:sz w:val="24"/>
          <w:szCs w:val="24"/>
        </w:rPr>
        <w:t>так Конституционный суд РФ не менее 3-х раз рассматривал вопрос о конституционности названной статьи, заявители указывали на «правовую неопределенность, неясность</w:t>
      </w:r>
      <w:r>
        <w:rPr>
          <w:rFonts w:ascii="Times New Roman" w:hAnsi="Times New Roman" w:cs="Times New Roman"/>
          <w:sz w:val="24"/>
          <w:szCs w:val="24"/>
        </w:rPr>
        <w:t xml:space="preserve"> и неконкретность ст. 10 ГК РФ»</w:t>
      </w:r>
      <w:r>
        <w:rPr>
          <w:rStyle w:val="a7"/>
          <w:rFonts w:ascii="Times New Roman" w:hAnsi="Times New Roman" w:cs="Times New Roman"/>
          <w:sz w:val="24"/>
          <w:szCs w:val="24"/>
        </w:rPr>
        <w:footnoteReference w:id="109"/>
      </w:r>
      <w:r>
        <w:rPr>
          <w:rFonts w:ascii="Times New Roman" w:hAnsi="Times New Roman" w:cs="Times New Roman"/>
          <w:sz w:val="24"/>
          <w:szCs w:val="24"/>
        </w:rPr>
        <w:t>.</w:t>
      </w:r>
    </w:p>
    <w:p w14:paraId="1E18D34D" w14:textId="77777777" w:rsidR="0065131F" w:rsidRDefault="0065131F" w:rsidP="0065131F">
      <w:pPr>
        <w:spacing w:after="0"/>
        <w:ind w:firstLine="851"/>
        <w:jc w:val="both"/>
        <w:rPr>
          <w:rFonts w:ascii="Times New Roman" w:hAnsi="Times New Roman" w:cs="Times New Roman"/>
          <w:sz w:val="24"/>
          <w:szCs w:val="24"/>
        </w:rPr>
      </w:pPr>
      <w:r w:rsidRPr="00EE7A69">
        <w:rPr>
          <w:rFonts w:ascii="Times New Roman" w:hAnsi="Times New Roman" w:cs="Times New Roman"/>
          <w:sz w:val="24"/>
          <w:szCs w:val="24"/>
        </w:rPr>
        <w:t>Однако, как неоднократно указывал в своих актах Конституционный суд РФ:</w:t>
      </w:r>
      <w:r>
        <w:rPr>
          <w:rFonts w:ascii="Times New Roman" w:hAnsi="Times New Roman" w:cs="Times New Roman"/>
          <w:sz w:val="24"/>
          <w:szCs w:val="24"/>
        </w:rPr>
        <w:t xml:space="preserve"> </w:t>
      </w:r>
      <w:r w:rsidRPr="00EE7A69">
        <w:rPr>
          <w:rFonts w:ascii="Times New Roman" w:hAnsi="Times New Roman" w:cs="Times New Roman"/>
          <w:sz w:val="24"/>
          <w:szCs w:val="24"/>
        </w:rPr>
        <w:t>«нормы статьи 10 ГК Российской Федерации, устанавливающие запрет злоупотребления правом в любых формах и правовые последствия злоупотребления правом, направлены на реализацию принципа, закрепленного в статье 17 (часть 3) Конституции Российской Федерации (Осуществление прав и свобод человека и гражданина не должно нарушать права и свободы других лиц), как в редакции, действовавшей до внесения изменений Федеральным законом от 30 декабря 2012 года N 302-ФЗ, так и после, неопределенности не содержат и сами по себе не могут расцениваться как нарушающие конституционные права за</w:t>
      </w:r>
      <w:r>
        <w:rPr>
          <w:rFonts w:ascii="Times New Roman" w:hAnsi="Times New Roman" w:cs="Times New Roman"/>
          <w:sz w:val="24"/>
          <w:szCs w:val="24"/>
        </w:rPr>
        <w:t>явителя, перечисленные в жалобе</w:t>
      </w:r>
      <w:r w:rsidRPr="00EE7A69">
        <w:rPr>
          <w:rFonts w:ascii="Times New Roman" w:hAnsi="Times New Roman" w:cs="Times New Roman"/>
          <w:sz w:val="24"/>
          <w:szCs w:val="24"/>
        </w:rPr>
        <w:t>»</w:t>
      </w:r>
      <w:r>
        <w:rPr>
          <w:rFonts w:ascii="Times New Roman" w:hAnsi="Times New Roman" w:cs="Times New Roman"/>
          <w:sz w:val="24"/>
          <w:szCs w:val="24"/>
        </w:rPr>
        <w:t>.</w:t>
      </w:r>
    </w:p>
    <w:p w14:paraId="396EE9C5" w14:textId="77777777" w:rsidR="0065131F" w:rsidRDefault="0065131F" w:rsidP="0065131F">
      <w:pPr>
        <w:spacing w:after="0"/>
        <w:ind w:firstLine="851"/>
        <w:jc w:val="both"/>
        <w:rPr>
          <w:rFonts w:ascii="Times New Roman" w:hAnsi="Times New Roman" w:cs="Times New Roman"/>
          <w:sz w:val="24"/>
          <w:szCs w:val="24"/>
        </w:rPr>
      </w:pPr>
      <w:r>
        <w:rPr>
          <w:rFonts w:ascii="Times New Roman" w:hAnsi="Times New Roman" w:cs="Times New Roman"/>
          <w:sz w:val="24"/>
          <w:szCs w:val="24"/>
        </w:rPr>
        <w:t>В</w:t>
      </w:r>
      <w:r w:rsidRPr="009D0460">
        <w:rPr>
          <w:rFonts w:ascii="Times New Roman" w:hAnsi="Times New Roman" w:cs="Times New Roman"/>
          <w:sz w:val="24"/>
          <w:szCs w:val="24"/>
        </w:rPr>
        <w:t>опреки</w:t>
      </w:r>
      <w:r>
        <w:rPr>
          <w:rFonts w:ascii="Times New Roman" w:hAnsi="Times New Roman" w:cs="Times New Roman"/>
          <w:sz w:val="24"/>
          <w:szCs w:val="24"/>
        </w:rPr>
        <w:t xml:space="preserve"> на многочисленные исследования цивилистов об институте злоупотребления правом, до сих пор существуют разногласия в его теоретическом обосновании и в </w:t>
      </w:r>
      <w:r w:rsidRPr="009D0460">
        <w:rPr>
          <w:rFonts w:ascii="Times New Roman" w:hAnsi="Times New Roman" w:cs="Times New Roman"/>
          <w:sz w:val="24"/>
          <w:szCs w:val="24"/>
        </w:rPr>
        <w:t>применении данно</w:t>
      </w:r>
      <w:r>
        <w:rPr>
          <w:rFonts w:ascii="Times New Roman" w:hAnsi="Times New Roman" w:cs="Times New Roman"/>
          <w:sz w:val="24"/>
          <w:szCs w:val="24"/>
        </w:rPr>
        <w:t xml:space="preserve">го феномена в судебной практике, что позволяет сказать о том, что данная категория востребована как наукой, так и практикой. </w:t>
      </w:r>
    </w:p>
    <w:p w14:paraId="6F0AF844" w14:textId="77777777" w:rsidR="0065131F" w:rsidRDefault="0065131F" w:rsidP="0065131F">
      <w:pPr>
        <w:spacing w:after="0"/>
        <w:ind w:firstLine="851"/>
        <w:jc w:val="both"/>
        <w:rPr>
          <w:rFonts w:ascii="Times New Roman" w:hAnsi="Times New Roman" w:cs="Times New Roman"/>
          <w:sz w:val="24"/>
          <w:szCs w:val="24"/>
        </w:rPr>
      </w:pPr>
      <w:r w:rsidRPr="00207189">
        <w:rPr>
          <w:rFonts w:ascii="Times New Roman" w:hAnsi="Times New Roman" w:cs="Times New Roman"/>
          <w:sz w:val="24"/>
          <w:szCs w:val="24"/>
        </w:rPr>
        <w:lastRenderedPageBreak/>
        <w:t>Судебная практика свидетельствует о том, что внимание к такому явлению как «злоупотребление правом» возрастает с каждым годом. Количество разъяснений по вопросу его применения также увеличивается, что связано с появлениями новых форм и видов злоупотреблений. Этим обусловлено введение запрета на защиту интересо</w:t>
      </w:r>
      <w:r>
        <w:rPr>
          <w:rFonts w:ascii="Times New Roman" w:hAnsi="Times New Roman" w:cs="Times New Roman"/>
          <w:sz w:val="24"/>
          <w:szCs w:val="24"/>
        </w:rPr>
        <w:t xml:space="preserve">в лиц, злоупотребляющих своими правами, который представляет </w:t>
      </w:r>
      <w:r w:rsidRPr="00207189">
        <w:rPr>
          <w:rFonts w:ascii="Times New Roman" w:hAnsi="Times New Roman" w:cs="Times New Roman"/>
          <w:sz w:val="24"/>
          <w:szCs w:val="24"/>
        </w:rPr>
        <w:t>собой один из правовых способов очищения правоотношений от недобросовестных, неразумных и вредоносных действий, влекущих нарушение прав и законных интересов других лиц, а также основ нравственности и правопорядка, запрограммированных законодателем</w:t>
      </w:r>
      <w:r>
        <w:rPr>
          <w:rFonts w:ascii="Times New Roman" w:hAnsi="Times New Roman" w:cs="Times New Roman"/>
          <w:sz w:val="24"/>
          <w:szCs w:val="24"/>
        </w:rPr>
        <w:t>.</w:t>
      </w:r>
    </w:p>
    <w:p w14:paraId="12E33068" w14:textId="77777777" w:rsidR="0065131F" w:rsidRDefault="0065131F" w:rsidP="0065131F">
      <w:pPr>
        <w:spacing w:after="0"/>
        <w:ind w:firstLine="851"/>
        <w:jc w:val="both"/>
        <w:rPr>
          <w:rFonts w:ascii="Times New Roman" w:hAnsi="Times New Roman" w:cs="Times New Roman"/>
          <w:sz w:val="24"/>
          <w:szCs w:val="24"/>
        </w:rPr>
      </w:pPr>
      <w:r w:rsidRPr="00330666">
        <w:rPr>
          <w:rFonts w:ascii="Times New Roman" w:hAnsi="Times New Roman" w:cs="Times New Roman"/>
          <w:sz w:val="24"/>
          <w:szCs w:val="24"/>
        </w:rPr>
        <w:t xml:space="preserve">Практика арбитражных судов использует не только отказ в судебной защите как следствие рассматриваемых нарушений, но и признание недействительной сделки. </w:t>
      </w:r>
    </w:p>
    <w:p w14:paraId="667390C0" w14:textId="77777777" w:rsidR="0065131F" w:rsidRDefault="0065131F" w:rsidP="0065131F">
      <w:pPr>
        <w:spacing w:after="0"/>
        <w:ind w:firstLine="851"/>
        <w:jc w:val="both"/>
        <w:rPr>
          <w:rFonts w:ascii="Times New Roman" w:hAnsi="Times New Roman" w:cs="Times New Roman"/>
          <w:sz w:val="24"/>
          <w:szCs w:val="24"/>
        </w:rPr>
      </w:pPr>
      <w:r w:rsidRPr="00207189">
        <w:rPr>
          <w:rFonts w:ascii="Times New Roman" w:hAnsi="Times New Roman" w:cs="Times New Roman"/>
          <w:sz w:val="24"/>
          <w:szCs w:val="24"/>
        </w:rPr>
        <w:t xml:space="preserve">Исходя из вышеизложенного, можно сделать вывод, что отсутствие в правовой системе определенного законодательного регулирования, стабильности гражданского оборота, </w:t>
      </w:r>
      <w:r>
        <w:rPr>
          <w:rFonts w:ascii="Times New Roman" w:hAnsi="Times New Roman" w:cs="Times New Roman"/>
          <w:sz w:val="24"/>
          <w:szCs w:val="24"/>
        </w:rPr>
        <w:t xml:space="preserve">значительно </w:t>
      </w:r>
      <w:r w:rsidRPr="00207189">
        <w:rPr>
          <w:rFonts w:ascii="Times New Roman" w:hAnsi="Times New Roman" w:cs="Times New Roman"/>
          <w:sz w:val="24"/>
          <w:szCs w:val="24"/>
        </w:rPr>
        <w:t>увеличивает количество случаев злоупотреблений правом, вызванных зачастую пробелами и противоречиями в законодательстве.</w:t>
      </w:r>
      <w:r w:rsidRPr="00207189">
        <w:rPr>
          <w:rFonts w:ascii="Times New Roman" w:hAnsi="Times New Roman" w:cs="Times New Roman"/>
          <w:sz w:val="28"/>
          <w:szCs w:val="28"/>
        </w:rPr>
        <w:t xml:space="preserve"> </w:t>
      </w:r>
      <w:r>
        <w:rPr>
          <w:rFonts w:ascii="Times New Roman" w:hAnsi="Times New Roman" w:cs="Times New Roman"/>
          <w:sz w:val="24"/>
          <w:szCs w:val="24"/>
        </w:rPr>
        <w:t>Задача государства -</w:t>
      </w:r>
      <w:r w:rsidRPr="00207189">
        <w:rPr>
          <w:rFonts w:ascii="Times New Roman" w:hAnsi="Times New Roman" w:cs="Times New Roman"/>
          <w:sz w:val="24"/>
          <w:szCs w:val="24"/>
        </w:rPr>
        <w:t xml:space="preserve"> выстроить свою правовую политику таким образом, чтобы минимизировать это явление, ограничить, насколько это</w:t>
      </w:r>
      <w:r>
        <w:rPr>
          <w:rFonts w:ascii="Times New Roman" w:hAnsi="Times New Roman" w:cs="Times New Roman"/>
          <w:sz w:val="24"/>
          <w:szCs w:val="24"/>
        </w:rPr>
        <w:t xml:space="preserve"> в</w:t>
      </w:r>
      <w:r w:rsidRPr="00207189">
        <w:rPr>
          <w:rFonts w:ascii="Times New Roman" w:hAnsi="Times New Roman" w:cs="Times New Roman"/>
          <w:sz w:val="24"/>
          <w:szCs w:val="24"/>
        </w:rPr>
        <w:t>озможн</w:t>
      </w:r>
      <w:r>
        <w:rPr>
          <w:rFonts w:ascii="Times New Roman" w:hAnsi="Times New Roman" w:cs="Times New Roman"/>
          <w:sz w:val="24"/>
          <w:szCs w:val="24"/>
        </w:rPr>
        <w:t>о.</w:t>
      </w:r>
    </w:p>
    <w:p w14:paraId="49781788" w14:textId="77777777" w:rsidR="00FD5ABB" w:rsidRDefault="00FD5ABB" w:rsidP="0065131F">
      <w:pPr>
        <w:spacing w:after="0"/>
        <w:ind w:firstLine="851"/>
        <w:jc w:val="both"/>
        <w:rPr>
          <w:rFonts w:ascii="Times New Roman" w:hAnsi="Times New Roman" w:cs="Times New Roman"/>
          <w:sz w:val="24"/>
          <w:szCs w:val="24"/>
        </w:rPr>
      </w:pPr>
    </w:p>
    <w:p w14:paraId="0842D0C9" w14:textId="77777777" w:rsidR="0065131F" w:rsidRDefault="0065131F" w:rsidP="0065131F">
      <w:pPr>
        <w:spacing w:after="0"/>
        <w:ind w:firstLine="851"/>
        <w:jc w:val="both"/>
        <w:rPr>
          <w:rFonts w:ascii="Times New Roman" w:hAnsi="Times New Roman" w:cs="Times New Roman"/>
          <w:sz w:val="24"/>
          <w:szCs w:val="24"/>
        </w:rPr>
      </w:pPr>
    </w:p>
    <w:p w14:paraId="065075D5" w14:textId="77777777" w:rsidR="0065131F" w:rsidRPr="009D0BC7" w:rsidRDefault="0065131F" w:rsidP="0065131F">
      <w:pPr>
        <w:rPr>
          <w:rFonts w:ascii="Times New Roman" w:hAnsi="Times New Roman" w:cs="Times New Roman"/>
          <w:sz w:val="24"/>
          <w:szCs w:val="24"/>
        </w:rPr>
      </w:pPr>
      <w:r w:rsidRPr="009D0BC7">
        <w:rPr>
          <w:rFonts w:ascii="Times New Roman" w:hAnsi="Times New Roman" w:cs="Times New Roman"/>
          <w:sz w:val="24"/>
          <w:szCs w:val="24"/>
        </w:rPr>
        <w:t>БИБЛИОГРАФИЧЕСКИЙ СПИСОК</w:t>
      </w:r>
    </w:p>
    <w:p w14:paraId="57C51271" w14:textId="77777777" w:rsidR="0065131F" w:rsidRPr="009D0BC7" w:rsidRDefault="0065131F" w:rsidP="0065131F">
      <w:pPr>
        <w:pStyle w:val="a5"/>
        <w:numPr>
          <w:ilvl w:val="0"/>
          <w:numId w:val="60"/>
        </w:numPr>
        <w:ind w:left="0" w:firstLine="567"/>
        <w:jc w:val="both"/>
        <w:rPr>
          <w:rFonts w:ascii="Times New Roman" w:hAnsi="Times New Roman" w:cs="Times New Roman"/>
          <w:sz w:val="24"/>
          <w:szCs w:val="24"/>
        </w:rPr>
      </w:pPr>
      <w:r w:rsidRPr="009D0BC7">
        <w:rPr>
          <w:rFonts w:ascii="Times New Roman" w:hAnsi="Times New Roman" w:cs="Times New Roman"/>
          <w:sz w:val="24"/>
          <w:szCs w:val="24"/>
        </w:rPr>
        <w:t>Бармина О.Н. Злоупотребление правом как общеправовая категория: теоретико-правовой анализ: дисс. на соискание ученой степени к.ю.н. г. Киров, 2014 г.;</w:t>
      </w:r>
    </w:p>
    <w:p w14:paraId="3E615D61" w14:textId="77777777" w:rsidR="0065131F" w:rsidRPr="009D0BC7" w:rsidRDefault="0065131F" w:rsidP="0065131F">
      <w:pPr>
        <w:pStyle w:val="a5"/>
        <w:numPr>
          <w:ilvl w:val="0"/>
          <w:numId w:val="60"/>
        </w:numPr>
        <w:ind w:left="0" w:firstLine="567"/>
        <w:jc w:val="both"/>
        <w:rPr>
          <w:rFonts w:ascii="Times New Roman" w:hAnsi="Times New Roman" w:cs="Times New Roman"/>
          <w:sz w:val="24"/>
          <w:szCs w:val="24"/>
        </w:rPr>
      </w:pPr>
      <w:r w:rsidRPr="009D0BC7">
        <w:rPr>
          <w:rFonts w:ascii="Times New Roman" w:hAnsi="Times New Roman" w:cs="Times New Roman"/>
          <w:sz w:val="24"/>
          <w:szCs w:val="24"/>
        </w:rPr>
        <w:t>Бекназар – Юзбашев Г.Т. Принцип доброй совести в гражданском праве Германии и России: дисс. на соискание ученой степени к.ю.н.г.  Москва, 2010 г.;</w:t>
      </w:r>
    </w:p>
    <w:p w14:paraId="38483465" w14:textId="77777777" w:rsidR="0065131F" w:rsidRPr="009D0BC7" w:rsidRDefault="0065131F" w:rsidP="0065131F">
      <w:pPr>
        <w:pStyle w:val="a5"/>
        <w:numPr>
          <w:ilvl w:val="0"/>
          <w:numId w:val="60"/>
        </w:numPr>
        <w:ind w:left="0" w:firstLine="567"/>
        <w:jc w:val="both"/>
        <w:rPr>
          <w:rFonts w:ascii="Times New Roman" w:hAnsi="Times New Roman" w:cs="Times New Roman"/>
          <w:sz w:val="24"/>
          <w:szCs w:val="24"/>
        </w:rPr>
      </w:pPr>
      <w:r w:rsidRPr="009D0BC7">
        <w:rPr>
          <w:rFonts w:ascii="Times New Roman" w:hAnsi="Times New Roman" w:cs="Times New Roman"/>
          <w:sz w:val="24"/>
          <w:szCs w:val="24"/>
        </w:rPr>
        <w:t>Вавилин Е.В. Осуществление и защита гражданских прав. М.: Волтерс Клувер, 2009 г. (с. 338 и др.);</w:t>
      </w:r>
    </w:p>
    <w:p w14:paraId="450EDE95" w14:textId="77777777" w:rsidR="0065131F" w:rsidRPr="009D0BC7" w:rsidRDefault="0065131F" w:rsidP="0065131F">
      <w:pPr>
        <w:pStyle w:val="a5"/>
        <w:numPr>
          <w:ilvl w:val="0"/>
          <w:numId w:val="60"/>
        </w:numPr>
        <w:ind w:left="0" w:firstLine="567"/>
        <w:jc w:val="both"/>
        <w:rPr>
          <w:rFonts w:ascii="Times New Roman" w:hAnsi="Times New Roman" w:cs="Times New Roman"/>
          <w:sz w:val="24"/>
          <w:szCs w:val="24"/>
        </w:rPr>
      </w:pPr>
      <w:r w:rsidRPr="009D0BC7">
        <w:rPr>
          <w:rFonts w:ascii="Times New Roman" w:hAnsi="Times New Roman" w:cs="Times New Roman"/>
          <w:sz w:val="24"/>
          <w:szCs w:val="24"/>
        </w:rPr>
        <w:t>Грибанов В.П. Осуществление и защита гражданских прав. М.: Статут, 2000;</w:t>
      </w:r>
    </w:p>
    <w:p w14:paraId="667DD670" w14:textId="77777777" w:rsidR="0065131F" w:rsidRPr="009D0BC7" w:rsidRDefault="0065131F" w:rsidP="0065131F">
      <w:pPr>
        <w:pStyle w:val="a5"/>
        <w:numPr>
          <w:ilvl w:val="0"/>
          <w:numId w:val="60"/>
        </w:numPr>
        <w:ind w:left="0" w:firstLine="567"/>
        <w:jc w:val="both"/>
        <w:rPr>
          <w:rFonts w:ascii="Times New Roman" w:hAnsi="Times New Roman" w:cs="Times New Roman"/>
          <w:sz w:val="24"/>
          <w:szCs w:val="24"/>
        </w:rPr>
      </w:pPr>
      <w:r w:rsidRPr="009D0BC7">
        <w:rPr>
          <w:rFonts w:ascii="Times New Roman" w:hAnsi="Times New Roman" w:cs="Times New Roman"/>
          <w:sz w:val="24"/>
          <w:szCs w:val="24"/>
        </w:rPr>
        <w:t>Ибрагимова М.В. М.В. Злоупотребление субъективным гражданским правом: понятие, сущность, виды и последствия: дисс. на соискание ученой степени к.ю.н. г. Рязань. 2005 г.;</w:t>
      </w:r>
    </w:p>
    <w:p w14:paraId="04987E80" w14:textId="77777777" w:rsidR="0065131F" w:rsidRPr="009D0BC7" w:rsidRDefault="0065131F" w:rsidP="0065131F">
      <w:pPr>
        <w:pStyle w:val="a5"/>
        <w:numPr>
          <w:ilvl w:val="0"/>
          <w:numId w:val="60"/>
        </w:numPr>
        <w:ind w:left="0" w:firstLine="567"/>
        <w:jc w:val="both"/>
        <w:rPr>
          <w:rFonts w:ascii="Times New Roman" w:hAnsi="Times New Roman" w:cs="Times New Roman"/>
          <w:sz w:val="24"/>
          <w:szCs w:val="24"/>
        </w:rPr>
      </w:pPr>
      <w:r w:rsidRPr="009D0BC7">
        <w:rPr>
          <w:rFonts w:ascii="Times New Roman" w:hAnsi="Times New Roman" w:cs="Times New Roman"/>
          <w:sz w:val="24"/>
          <w:szCs w:val="24"/>
        </w:rPr>
        <w:t>Избрехт П.А. Злоупотребление гражданскими правами в сфере предпринимательской деятельности: дисс. на соискание ученой степени к.ю.н. г. Екатеринбург, 2005 г.;</w:t>
      </w:r>
    </w:p>
    <w:p w14:paraId="6939B8FB" w14:textId="77777777" w:rsidR="0065131F" w:rsidRPr="009D0BC7" w:rsidRDefault="0065131F" w:rsidP="0065131F">
      <w:pPr>
        <w:pStyle w:val="a5"/>
        <w:numPr>
          <w:ilvl w:val="0"/>
          <w:numId w:val="60"/>
        </w:numPr>
        <w:ind w:left="0" w:firstLine="567"/>
        <w:jc w:val="both"/>
        <w:rPr>
          <w:rFonts w:ascii="Times New Roman" w:hAnsi="Times New Roman" w:cs="Times New Roman"/>
          <w:sz w:val="24"/>
          <w:szCs w:val="24"/>
        </w:rPr>
      </w:pPr>
      <w:r w:rsidRPr="009D0BC7">
        <w:rPr>
          <w:rFonts w:ascii="Times New Roman" w:hAnsi="Times New Roman" w:cs="Times New Roman"/>
          <w:sz w:val="24"/>
          <w:szCs w:val="24"/>
        </w:rPr>
        <w:t>Лукьяненко М.Ф. Оценочные понятия гражданского права: разумность, добросовестность, существенность. М.: Статут, 2010 г.  (с. 12-16);</w:t>
      </w:r>
    </w:p>
    <w:p w14:paraId="667A7622" w14:textId="77777777" w:rsidR="0065131F" w:rsidRPr="009D0BC7" w:rsidRDefault="0065131F" w:rsidP="0065131F">
      <w:pPr>
        <w:pStyle w:val="a5"/>
        <w:numPr>
          <w:ilvl w:val="0"/>
          <w:numId w:val="60"/>
        </w:numPr>
        <w:ind w:left="0" w:firstLine="567"/>
        <w:jc w:val="both"/>
        <w:rPr>
          <w:rFonts w:ascii="Times New Roman" w:hAnsi="Times New Roman" w:cs="Times New Roman"/>
          <w:sz w:val="24"/>
          <w:szCs w:val="24"/>
        </w:rPr>
      </w:pPr>
      <w:r w:rsidRPr="009D0BC7">
        <w:rPr>
          <w:rFonts w:ascii="Times New Roman" w:hAnsi="Times New Roman" w:cs="Times New Roman"/>
          <w:sz w:val="24"/>
          <w:szCs w:val="24"/>
        </w:rPr>
        <w:t>Радченко С.Д. Злоупотребление правом в гражданском праве России: дисс. на соискание ученой степени к.ю.н. г. Москва, 2007 г.;</w:t>
      </w:r>
    </w:p>
    <w:p w14:paraId="0312E759" w14:textId="77777777" w:rsidR="0065131F" w:rsidRPr="009D0BC7" w:rsidRDefault="0065131F" w:rsidP="0065131F">
      <w:pPr>
        <w:pStyle w:val="a5"/>
        <w:numPr>
          <w:ilvl w:val="0"/>
          <w:numId w:val="60"/>
        </w:numPr>
        <w:ind w:left="0" w:firstLine="567"/>
        <w:jc w:val="both"/>
        <w:rPr>
          <w:rFonts w:ascii="Times New Roman" w:hAnsi="Times New Roman" w:cs="Times New Roman"/>
          <w:sz w:val="24"/>
          <w:szCs w:val="24"/>
        </w:rPr>
      </w:pPr>
      <w:r w:rsidRPr="009D0BC7">
        <w:rPr>
          <w:rFonts w:ascii="Times New Roman" w:hAnsi="Times New Roman" w:cs="Times New Roman"/>
          <w:sz w:val="24"/>
          <w:szCs w:val="24"/>
        </w:rPr>
        <w:t>Яценко Т.С. Шикана как правовая категория в гражданском праве: дисс. на соискание ученой степени к.ю.н. г. Ростов-на-Дону, 2001 г.</w:t>
      </w:r>
    </w:p>
    <w:p w14:paraId="0741F184" w14:textId="77777777" w:rsidR="0065131F" w:rsidRPr="009D0BC7" w:rsidRDefault="0065131F" w:rsidP="0065131F">
      <w:pPr>
        <w:rPr>
          <w:rFonts w:ascii="Times New Roman" w:hAnsi="Times New Roman" w:cs="Times New Roman"/>
          <w:sz w:val="24"/>
          <w:szCs w:val="24"/>
        </w:rPr>
      </w:pPr>
    </w:p>
    <w:p w14:paraId="68D3422A" w14:textId="77777777" w:rsidR="00FD5ABB" w:rsidRDefault="00FD5ABB" w:rsidP="001B6C3B">
      <w:pPr>
        <w:spacing w:after="0" w:line="240" w:lineRule="auto"/>
        <w:ind w:left="5103"/>
        <w:jc w:val="both"/>
        <w:rPr>
          <w:rFonts w:ascii="Times New Roman" w:eastAsiaTheme="majorEastAsia" w:hAnsi="Times New Roman" w:cs="Times New Roman"/>
          <w:b/>
          <w:bCs/>
          <w:sz w:val="24"/>
          <w:szCs w:val="24"/>
        </w:rPr>
      </w:pPr>
    </w:p>
    <w:p w14:paraId="5063027B" w14:textId="77777777" w:rsidR="00FD5ABB" w:rsidRDefault="00FD5ABB" w:rsidP="001B6C3B">
      <w:pPr>
        <w:spacing w:after="0" w:line="240" w:lineRule="auto"/>
        <w:ind w:left="5103"/>
        <w:jc w:val="both"/>
        <w:rPr>
          <w:rFonts w:ascii="Times New Roman" w:eastAsiaTheme="majorEastAsia" w:hAnsi="Times New Roman" w:cs="Times New Roman"/>
          <w:b/>
          <w:bCs/>
          <w:sz w:val="24"/>
          <w:szCs w:val="24"/>
        </w:rPr>
      </w:pPr>
    </w:p>
    <w:p w14:paraId="4EBDBC58" w14:textId="77777777" w:rsidR="00FD5ABB" w:rsidRDefault="00FD5ABB" w:rsidP="001B6C3B">
      <w:pPr>
        <w:spacing w:after="0" w:line="240" w:lineRule="auto"/>
        <w:ind w:left="5103"/>
        <w:jc w:val="both"/>
        <w:rPr>
          <w:rFonts w:ascii="Times New Roman" w:eastAsiaTheme="majorEastAsia" w:hAnsi="Times New Roman" w:cs="Times New Roman"/>
          <w:b/>
          <w:bCs/>
          <w:sz w:val="24"/>
          <w:szCs w:val="24"/>
        </w:rPr>
      </w:pPr>
    </w:p>
    <w:p w14:paraId="79C4B9F7" w14:textId="77777777" w:rsidR="00FD5ABB" w:rsidRDefault="00FD5ABB" w:rsidP="001B6C3B">
      <w:pPr>
        <w:spacing w:after="0" w:line="240" w:lineRule="auto"/>
        <w:ind w:left="5103"/>
        <w:jc w:val="both"/>
        <w:rPr>
          <w:rFonts w:ascii="Times New Roman" w:eastAsiaTheme="majorEastAsia" w:hAnsi="Times New Roman" w:cs="Times New Roman"/>
          <w:b/>
          <w:bCs/>
          <w:sz w:val="24"/>
          <w:szCs w:val="24"/>
        </w:rPr>
      </w:pPr>
    </w:p>
    <w:p w14:paraId="456B1681" w14:textId="77777777" w:rsidR="00FD5ABB" w:rsidRDefault="00FD5ABB" w:rsidP="001B6C3B">
      <w:pPr>
        <w:spacing w:after="0" w:line="240" w:lineRule="auto"/>
        <w:ind w:left="5103"/>
        <w:jc w:val="both"/>
        <w:rPr>
          <w:rFonts w:ascii="Times New Roman" w:eastAsiaTheme="majorEastAsia" w:hAnsi="Times New Roman" w:cs="Times New Roman"/>
          <w:b/>
          <w:bCs/>
          <w:sz w:val="24"/>
          <w:szCs w:val="24"/>
        </w:rPr>
      </w:pPr>
    </w:p>
    <w:p w14:paraId="3923CE5D" w14:textId="77777777" w:rsidR="00FD5ABB" w:rsidRDefault="00FD5ABB" w:rsidP="001B6C3B">
      <w:pPr>
        <w:spacing w:after="0" w:line="240" w:lineRule="auto"/>
        <w:ind w:left="5103"/>
        <w:jc w:val="both"/>
        <w:rPr>
          <w:rFonts w:ascii="Times New Roman" w:eastAsiaTheme="majorEastAsia" w:hAnsi="Times New Roman" w:cs="Times New Roman"/>
          <w:b/>
          <w:bCs/>
          <w:sz w:val="24"/>
          <w:szCs w:val="24"/>
        </w:rPr>
      </w:pPr>
    </w:p>
    <w:p w14:paraId="68DD91D8" w14:textId="77777777" w:rsidR="00FD5ABB" w:rsidRDefault="00FD5ABB" w:rsidP="001B6C3B">
      <w:pPr>
        <w:spacing w:after="0" w:line="240" w:lineRule="auto"/>
        <w:ind w:left="5103"/>
        <w:jc w:val="both"/>
        <w:rPr>
          <w:rFonts w:ascii="Times New Roman" w:eastAsiaTheme="majorEastAsia" w:hAnsi="Times New Roman" w:cs="Times New Roman"/>
          <w:b/>
          <w:bCs/>
          <w:sz w:val="24"/>
          <w:szCs w:val="24"/>
        </w:rPr>
      </w:pPr>
    </w:p>
    <w:p w14:paraId="4A6C72C6" w14:textId="77777777" w:rsidR="00FD5ABB" w:rsidRDefault="00FD5ABB" w:rsidP="001B6C3B">
      <w:pPr>
        <w:spacing w:after="0" w:line="240" w:lineRule="auto"/>
        <w:ind w:left="5103"/>
        <w:jc w:val="both"/>
        <w:rPr>
          <w:rFonts w:ascii="Times New Roman" w:eastAsiaTheme="majorEastAsia" w:hAnsi="Times New Roman" w:cs="Times New Roman"/>
          <w:b/>
          <w:bCs/>
          <w:sz w:val="24"/>
          <w:szCs w:val="24"/>
        </w:rPr>
      </w:pPr>
    </w:p>
    <w:p w14:paraId="5998687C" w14:textId="77777777" w:rsidR="00FD5ABB" w:rsidRDefault="00FD5ABB" w:rsidP="001B6C3B">
      <w:pPr>
        <w:spacing w:after="0" w:line="240" w:lineRule="auto"/>
        <w:ind w:left="5103"/>
        <w:jc w:val="both"/>
        <w:rPr>
          <w:rFonts w:ascii="Times New Roman" w:eastAsiaTheme="majorEastAsia" w:hAnsi="Times New Roman" w:cs="Times New Roman"/>
          <w:b/>
          <w:bCs/>
          <w:sz w:val="24"/>
          <w:szCs w:val="24"/>
        </w:rPr>
      </w:pPr>
    </w:p>
    <w:p w14:paraId="1517975F" w14:textId="77777777" w:rsidR="00FD5ABB" w:rsidRDefault="00FD5ABB" w:rsidP="001B6C3B">
      <w:pPr>
        <w:spacing w:after="0" w:line="240" w:lineRule="auto"/>
        <w:ind w:left="5103"/>
        <w:jc w:val="both"/>
        <w:rPr>
          <w:rFonts w:ascii="Times New Roman" w:eastAsiaTheme="majorEastAsia" w:hAnsi="Times New Roman" w:cs="Times New Roman"/>
          <w:b/>
          <w:bCs/>
          <w:sz w:val="24"/>
          <w:szCs w:val="24"/>
        </w:rPr>
      </w:pPr>
    </w:p>
    <w:p w14:paraId="1A55D0F8" w14:textId="77777777" w:rsidR="00FD5ABB" w:rsidRDefault="00FD5ABB" w:rsidP="001B6C3B">
      <w:pPr>
        <w:spacing w:after="0" w:line="240" w:lineRule="auto"/>
        <w:ind w:left="5103"/>
        <w:jc w:val="both"/>
        <w:rPr>
          <w:rFonts w:ascii="Times New Roman" w:eastAsiaTheme="majorEastAsia" w:hAnsi="Times New Roman" w:cs="Times New Roman"/>
          <w:b/>
          <w:bCs/>
          <w:sz w:val="24"/>
          <w:szCs w:val="24"/>
        </w:rPr>
      </w:pPr>
    </w:p>
    <w:p w14:paraId="6A541CB2" w14:textId="4516E4D6" w:rsidR="001B6C3B" w:rsidRDefault="001B6C3B" w:rsidP="001B6C3B">
      <w:pPr>
        <w:spacing w:after="0" w:line="240" w:lineRule="auto"/>
        <w:ind w:left="5103"/>
        <w:jc w:val="both"/>
        <w:rPr>
          <w:rFonts w:ascii="Times New Roman" w:eastAsiaTheme="majorEastAsia" w:hAnsi="Times New Roman" w:cs="Times New Roman"/>
          <w:b/>
          <w:bCs/>
          <w:sz w:val="24"/>
          <w:szCs w:val="24"/>
        </w:rPr>
      </w:pPr>
      <w:r>
        <w:rPr>
          <w:rFonts w:ascii="Times New Roman" w:eastAsiaTheme="majorEastAsia" w:hAnsi="Times New Roman" w:cs="Times New Roman"/>
          <w:b/>
          <w:bCs/>
          <w:sz w:val="24"/>
          <w:szCs w:val="24"/>
        </w:rPr>
        <w:lastRenderedPageBreak/>
        <w:t>УДК 347</w:t>
      </w:r>
    </w:p>
    <w:p w14:paraId="37DDC34A" w14:textId="77777777" w:rsidR="001B6C3B" w:rsidRDefault="001B6C3B" w:rsidP="001B6C3B">
      <w:pPr>
        <w:spacing w:after="0" w:line="240" w:lineRule="auto"/>
        <w:ind w:left="5103"/>
        <w:jc w:val="both"/>
        <w:rPr>
          <w:rFonts w:ascii="Times New Roman" w:hAnsi="Times New Roman" w:cs="Times New Roman"/>
          <w:sz w:val="24"/>
          <w:szCs w:val="24"/>
        </w:rPr>
      </w:pPr>
    </w:p>
    <w:p w14:paraId="5199B391" w14:textId="77777777" w:rsidR="001B6C3B" w:rsidRDefault="001B6C3B" w:rsidP="001B6C3B">
      <w:pPr>
        <w:spacing w:after="0" w:line="240" w:lineRule="auto"/>
        <w:ind w:left="5103"/>
        <w:jc w:val="both"/>
        <w:rPr>
          <w:rFonts w:ascii="Times New Roman" w:hAnsi="Times New Roman" w:cs="Times New Roman"/>
          <w:b/>
          <w:sz w:val="24"/>
          <w:szCs w:val="24"/>
        </w:rPr>
      </w:pPr>
      <w:r>
        <w:rPr>
          <w:rFonts w:ascii="Times New Roman" w:hAnsi="Times New Roman" w:cs="Times New Roman"/>
          <w:b/>
          <w:sz w:val="24"/>
          <w:szCs w:val="24"/>
        </w:rPr>
        <w:t>Гаврик Анастасия Евгеньевна</w:t>
      </w:r>
    </w:p>
    <w:p w14:paraId="108A98AC" w14:textId="77777777" w:rsidR="001B6C3B" w:rsidRDefault="001B6C3B" w:rsidP="001B6C3B">
      <w:pPr>
        <w:spacing w:after="0" w:line="240" w:lineRule="auto"/>
        <w:ind w:left="5103"/>
        <w:jc w:val="both"/>
        <w:rPr>
          <w:rFonts w:ascii="Times New Roman" w:hAnsi="Times New Roman" w:cs="Times New Roman"/>
          <w:b/>
          <w:sz w:val="24"/>
          <w:szCs w:val="24"/>
        </w:rPr>
      </w:pPr>
      <w:r>
        <w:rPr>
          <w:rFonts w:ascii="Times New Roman" w:hAnsi="Times New Roman" w:cs="Times New Roman"/>
          <w:b/>
          <w:sz w:val="24"/>
          <w:szCs w:val="24"/>
        </w:rPr>
        <w:t>Gavrik Anastasia Evgenievna</w:t>
      </w:r>
    </w:p>
    <w:p w14:paraId="300FAD8A" w14:textId="77777777" w:rsidR="001B6C3B" w:rsidRDefault="001B6C3B" w:rsidP="001B6C3B">
      <w:pPr>
        <w:spacing w:after="0" w:line="240" w:lineRule="auto"/>
        <w:ind w:left="5103"/>
        <w:jc w:val="both"/>
        <w:rPr>
          <w:rFonts w:ascii="Times New Roman" w:hAnsi="Times New Roman" w:cs="Times New Roman"/>
          <w:sz w:val="24"/>
          <w:szCs w:val="24"/>
        </w:rPr>
      </w:pPr>
      <w:r>
        <w:rPr>
          <w:rFonts w:ascii="Times New Roman" w:hAnsi="Times New Roman" w:cs="Times New Roman"/>
          <w:sz w:val="24"/>
          <w:szCs w:val="24"/>
        </w:rPr>
        <w:t xml:space="preserve">магистрант Федеральное государственное бюджетное </w:t>
      </w:r>
    </w:p>
    <w:p w14:paraId="648163AB" w14:textId="77777777" w:rsidR="001B6C3B" w:rsidRDefault="001B6C3B" w:rsidP="001B6C3B">
      <w:pPr>
        <w:spacing w:after="0" w:line="240" w:lineRule="auto"/>
        <w:ind w:left="5103"/>
        <w:jc w:val="both"/>
        <w:rPr>
          <w:rFonts w:ascii="Times New Roman" w:hAnsi="Times New Roman" w:cs="Times New Roman"/>
          <w:sz w:val="24"/>
          <w:szCs w:val="24"/>
        </w:rPr>
      </w:pPr>
      <w:r>
        <w:rPr>
          <w:rFonts w:ascii="Times New Roman" w:hAnsi="Times New Roman" w:cs="Times New Roman"/>
          <w:sz w:val="24"/>
          <w:szCs w:val="24"/>
        </w:rPr>
        <w:t xml:space="preserve">образовательное учреждение высшего образования </w:t>
      </w:r>
    </w:p>
    <w:p w14:paraId="52D97D79" w14:textId="77777777" w:rsidR="001B6C3B" w:rsidRDefault="001B6C3B" w:rsidP="001B6C3B">
      <w:pPr>
        <w:spacing w:after="0" w:line="240" w:lineRule="auto"/>
        <w:ind w:left="5103"/>
        <w:jc w:val="both"/>
        <w:rPr>
          <w:rFonts w:ascii="Times New Roman" w:hAnsi="Times New Roman" w:cs="Times New Roman"/>
          <w:sz w:val="24"/>
          <w:szCs w:val="24"/>
        </w:rPr>
      </w:pPr>
      <w:r>
        <w:rPr>
          <w:rFonts w:ascii="Times New Roman" w:hAnsi="Times New Roman" w:cs="Times New Roman"/>
          <w:sz w:val="24"/>
          <w:szCs w:val="24"/>
        </w:rPr>
        <w:t xml:space="preserve">«Кубанский государственный аграрный университет </w:t>
      </w:r>
    </w:p>
    <w:p w14:paraId="7CAF6970" w14:textId="77777777" w:rsidR="001B6C3B" w:rsidRDefault="001B6C3B" w:rsidP="001B6C3B">
      <w:pPr>
        <w:spacing w:after="0" w:line="240" w:lineRule="auto"/>
        <w:ind w:left="5103"/>
        <w:jc w:val="both"/>
        <w:rPr>
          <w:rFonts w:ascii="Times New Roman" w:hAnsi="Times New Roman" w:cs="Times New Roman"/>
          <w:sz w:val="24"/>
          <w:szCs w:val="24"/>
        </w:rPr>
      </w:pPr>
      <w:r>
        <w:rPr>
          <w:rFonts w:ascii="Times New Roman" w:hAnsi="Times New Roman" w:cs="Times New Roman"/>
          <w:sz w:val="24"/>
          <w:szCs w:val="24"/>
        </w:rPr>
        <w:t>имени И.Т. Трубилина»</w:t>
      </w:r>
    </w:p>
    <w:p w14:paraId="706CEFC3" w14:textId="77777777" w:rsidR="001B6C3B" w:rsidRDefault="001B6C3B" w:rsidP="001B6C3B">
      <w:pPr>
        <w:spacing w:after="0" w:line="240" w:lineRule="auto"/>
        <w:ind w:left="5103"/>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Federal State Budgetary Educational Institution of Higher </w:t>
      </w:r>
    </w:p>
    <w:p w14:paraId="1E36F245" w14:textId="77777777" w:rsidR="001B6C3B" w:rsidRDefault="001B6C3B" w:rsidP="001B6C3B">
      <w:pPr>
        <w:spacing w:after="0" w:line="240" w:lineRule="auto"/>
        <w:ind w:left="5103"/>
        <w:jc w:val="both"/>
        <w:rPr>
          <w:rFonts w:ascii="Times New Roman" w:hAnsi="Times New Roman" w:cs="Times New Roman"/>
          <w:sz w:val="24"/>
          <w:szCs w:val="24"/>
          <w:lang w:val="en-US"/>
        </w:rPr>
      </w:pPr>
      <w:r>
        <w:rPr>
          <w:rFonts w:ascii="Times New Roman" w:hAnsi="Times New Roman" w:cs="Times New Roman"/>
          <w:sz w:val="24"/>
          <w:szCs w:val="24"/>
          <w:lang w:val="en-US"/>
        </w:rPr>
        <w:t>Education</w:t>
      </w:r>
    </w:p>
    <w:p w14:paraId="3CF9003B" w14:textId="77777777" w:rsidR="001B6C3B" w:rsidRDefault="001B6C3B" w:rsidP="001B6C3B">
      <w:pPr>
        <w:spacing w:after="0" w:line="240" w:lineRule="auto"/>
        <w:ind w:left="5103"/>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“Kuban State Agrarian University named after I.T. </w:t>
      </w:r>
    </w:p>
    <w:p w14:paraId="378AB5FE" w14:textId="77777777" w:rsidR="001B6C3B" w:rsidRDefault="001B6C3B" w:rsidP="001B6C3B">
      <w:pPr>
        <w:spacing w:after="0" w:line="240" w:lineRule="auto"/>
        <w:ind w:left="5103"/>
        <w:jc w:val="both"/>
        <w:rPr>
          <w:rFonts w:ascii="Times New Roman" w:hAnsi="Times New Roman" w:cs="Times New Roman"/>
          <w:sz w:val="24"/>
          <w:szCs w:val="24"/>
          <w:lang w:val="en-US"/>
        </w:rPr>
      </w:pPr>
      <w:r>
        <w:rPr>
          <w:rFonts w:ascii="Times New Roman" w:hAnsi="Times New Roman" w:cs="Times New Roman"/>
          <w:sz w:val="24"/>
          <w:szCs w:val="24"/>
          <w:lang w:val="en-US"/>
        </w:rPr>
        <w:t>Trubilin”</w:t>
      </w:r>
    </w:p>
    <w:p w14:paraId="5F74B3F4" w14:textId="77777777" w:rsidR="001B6C3B" w:rsidRDefault="001B6C3B" w:rsidP="001B6C3B">
      <w:pPr>
        <w:spacing w:after="0" w:line="240" w:lineRule="auto"/>
        <w:ind w:left="5103"/>
        <w:jc w:val="both"/>
        <w:rPr>
          <w:rFonts w:ascii="Times New Roman" w:hAnsi="Times New Roman" w:cs="Times New Roman"/>
          <w:sz w:val="24"/>
          <w:szCs w:val="24"/>
          <w:lang w:val="en-US"/>
        </w:rPr>
      </w:pPr>
      <w:r>
        <w:rPr>
          <w:rFonts w:ascii="Times New Roman" w:hAnsi="Times New Roman" w:cs="Times New Roman"/>
          <w:sz w:val="24"/>
          <w:szCs w:val="24"/>
        </w:rPr>
        <w:t>Российская</w:t>
      </w:r>
      <w:r>
        <w:rPr>
          <w:rFonts w:ascii="Times New Roman" w:hAnsi="Times New Roman" w:cs="Times New Roman"/>
          <w:sz w:val="24"/>
          <w:szCs w:val="24"/>
          <w:lang w:val="en-US"/>
        </w:rPr>
        <w:t xml:space="preserve"> </w:t>
      </w:r>
      <w:r>
        <w:rPr>
          <w:rFonts w:ascii="Times New Roman" w:hAnsi="Times New Roman" w:cs="Times New Roman"/>
          <w:sz w:val="24"/>
          <w:szCs w:val="24"/>
        </w:rPr>
        <w:t>Федерация</w:t>
      </w:r>
      <w:r>
        <w:rPr>
          <w:rFonts w:ascii="Times New Roman" w:hAnsi="Times New Roman" w:cs="Times New Roman"/>
          <w:sz w:val="24"/>
          <w:szCs w:val="24"/>
          <w:lang w:val="en-US"/>
        </w:rPr>
        <w:t xml:space="preserve">, </w:t>
      </w:r>
      <w:r>
        <w:rPr>
          <w:rFonts w:ascii="Times New Roman" w:hAnsi="Times New Roman" w:cs="Times New Roman"/>
          <w:sz w:val="24"/>
          <w:szCs w:val="24"/>
        </w:rPr>
        <w:t>г</w:t>
      </w:r>
      <w:r>
        <w:rPr>
          <w:rFonts w:ascii="Times New Roman" w:hAnsi="Times New Roman" w:cs="Times New Roman"/>
          <w:sz w:val="24"/>
          <w:szCs w:val="24"/>
          <w:lang w:val="en-US"/>
        </w:rPr>
        <w:t xml:space="preserve">. </w:t>
      </w:r>
      <w:r>
        <w:rPr>
          <w:rFonts w:ascii="Times New Roman" w:hAnsi="Times New Roman" w:cs="Times New Roman"/>
          <w:sz w:val="24"/>
          <w:szCs w:val="24"/>
        </w:rPr>
        <w:t>Краснодар</w:t>
      </w:r>
    </w:p>
    <w:p w14:paraId="1B2879F3" w14:textId="77777777" w:rsidR="001B6C3B" w:rsidRDefault="001B6C3B" w:rsidP="001B6C3B">
      <w:pPr>
        <w:spacing w:after="0" w:line="240" w:lineRule="auto"/>
        <w:ind w:left="5103"/>
        <w:jc w:val="both"/>
        <w:rPr>
          <w:rFonts w:ascii="Times New Roman" w:hAnsi="Times New Roman" w:cs="Times New Roman"/>
          <w:sz w:val="24"/>
          <w:szCs w:val="24"/>
          <w:lang w:val="en-US"/>
        </w:rPr>
      </w:pPr>
      <w:r>
        <w:rPr>
          <w:rFonts w:ascii="Times New Roman" w:hAnsi="Times New Roman" w:cs="Times New Roman"/>
          <w:sz w:val="24"/>
          <w:szCs w:val="24"/>
          <w:lang w:val="en-US"/>
        </w:rPr>
        <w:t>Russian Federation, Krasnodar</w:t>
      </w:r>
    </w:p>
    <w:p w14:paraId="7ADB1EBD" w14:textId="77777777" w:rsidR="001B6C3B" w:rsidRDefault="00EE7838" w:rsidP="001B6C3B">
      <w:pPr>
        <w:spacing w:after="0" w:line="240" w:lineRule="auto"/>
        <w:ind w:left="5103"/>
        <w:jc w:val="both"/>
        <w:rPr>
          <w:rStyle w:val="a9"/>
        </w:rPr>
      </w:pPr>
      <w:hyperlink r:id="rId20" w:history="1">
        <w:r w:rsidR="001B6C3B">
          <w:rPr>
            <w:rStyle w:val="a9"/>
            <w:rFonts w:ascii="Times New Roman" w:hAnsi="Times New Roman" w:cs="Times New Roman"/>
            <w:sz w:val="24"/>
            <w:szCs w:val="24"/>
            <w:lang w:val="en-US"/>
          </w:rPr>
          <w:t>lasia</w:t>
        </w:r>
        <w:r w:rsidR="001B6C3B">
          <w:rPr>
            <w:rStyle w:val="a9"/>
            <w:rFonts w:ascii="Times New Roman" w:hAnsi="Times New Roman" w:cs="Times New Roman"/>
            <w:sz w:val="24"/>
            <w:szCs w:val="24"/>
          </w:rPr>
          <w:t>.17@</w:t>
        </w:r>
        <w:r w:rsidR="001B6C3B">
          <w:rPr>
            <w:rStyle w:val="a9"/>
            <w:rFonts w:ascii="Times New Roman" w:hAnsi="Times New Roman" w:cs="Times New Roman"/>
            <w:sz w:val="24"/>
            <w:szCs w:val="24"/>
            <w:lang w:val="en-US"/>
          </w:rPr>
          <w:t>mail</w:t>
        </w:r>
        <w:r w:rsidR="001B6C3B">
          <w:rPr>
            <w:rStyle w:val="a9"/>
            <w:rFonts w:ascii="Times New Roman" w:hAnsi="Times New Roman" w:cs="Times New Roman"/>
            <w:sz w:val="24"/>
            <w:szCs w:val="24"/>
          </w:rPr>
          <w:t>.</w:t>
        </w:r>
        <w:r w:rsidR="001B6C3B">
          <w:rPr>
            <w:rStyle w:val="a9"/>
            <w:rFonts w:ascii="Times New Roman" w:hAnsi="Times New Roman" w:cs="Times New Roman"/>
            <w:sz w:val="24"/>
            <w:szCs w:val="24"/>
            <w:lang w:val="en-US"/>
          </w:rPr>
          <w:t>ru</w:t>
        </w:r>
      </w:hyperlink>
    </w:p>
    <w:p w14:paraId="43373318" w14:textId="77777777" w:rsidR="001B6C3B" w:rsidRDefault="001B6C3B" w:rsidP="001B6C3B">
      <w:pPr>
        <w:spacing w:after="0" w:line="240" w:lineRule="auto"/>
        <w:ind w:left="5103"/>
        <w:jc w:val="both"/>
      </w:pPr>
      <w:r>
        <w:rPr>
          <w:rFonts w:ascii="Times New Roman" w:hAnsi="Times New Roman" w:cs="Times New Roman"/>
          <w:sz w:val="24"/>
          <w:szCs w:val="24"/>
        </w:rPr>
        <w:t>Научный руководитель: к.ю.н., доцент</w:t>
      </w:r>
    </w:p>
    <w:p w14:paraId="37AFF211" w14:textId="77777777" w:rsidR="001B6C3B" w:rsidRDefault="001B6C3B" w:rsidP="001B6C3B">
      <w:pPr>
        <w:spacing w:after="0" w:line="240" w:lineRule="auto"/>
        <w:ind w:left="5103"/>
        <w:jc w:val="both"/>
        <w:rPr>
          <w:rFonts w:ascii="Times New Roman" w:hAnsi="Times New Roman" w:cs="Times New Roman"/>
          <w:sz w:val="24"/>
          <w:szCs w:val="24"/>
        </w:rPr>
      </w:pPr>
      <w:r>
        <w:rPr>
          <w:rFonts w:ascii="Times New Roman" w:hAnsi="Times New Roman" w:cs="Times New Roman"/>
          <w:sz w:val="24"/>
          <w:szCs w:val="24"/>
        </w:rPr>
        <w:t>Новикова Светлана Викторовна</w:t>
      </w:r>
    </w:p>
    <w:p w14:paraId="73E6418D" w14:textId="77777777" w:rsidR="001B6C3B" w:rsidRDefault="001B6C3B" w:rsidP="001B6C3B">
      <w:pPr>
        <w:spacing w:after="0" w:line="240" w:lineRule="auto"/>
        <w:ind w:firstLine="709"/>
        <w:jc w:val="both"/>
        <w:rPr>
          <w:rFonts w:ascii="Times New Roman" w:hAnsi="Times New Roman" w:cs="Times New Roman"/>
          <w:sz w:val="24"/>
          <w:szCs w:val="24"/>
        </w:rPr>
      </w:pPr>
    </w:p>
    <w:p w14:paraId="636DB415" w14:textId="77777777" w:rsidR="001B6C3B" w:rsidRDefault="001B6C3B" w:rsidP="001B6C3B">
      <w:pPr>
        <w:spacing w:after="0" w:line="240" w:lineRule="auto"/>
        <w:ind w:firstLine="709"/>
        <w:jc w:val="both"/>
        <w:rPr>
          <w:rFonts w:ascii="Times New Roman" w:hAnsi="Times New Roman" w:cs="Times New Roman"/>
          <w:sz w:val="24"/>
          <w:szCs w:val="24"/>
        </w:rPr>
      </w:pPr>
    </w:p>
    <w:p w14:paraId="02A27F32" w14:textId="77777777" w:rsidR="001B6C3B" w:rsidRDefault="001B6C3B" w:rsidP="001B6C3B">
      <w:pPr>
        <w:spacing w:after="0" w:line="240" w:lineRule="auto"/>
        <w:ind w:firstLine="709"/>
        <w:jc w:val="center"/>
        <w:rPr>
          <w:rFonts w:ascii="Times New Roman" w:hAnsi="Times New Roman" w:cs="Times New Roman"/>
          <w:b/>
          <w:sz w:val="24"/>
          <w:szCs w:val="24"/>
        </w:rPr>
      </w:pPr>
      <w:r>
        <w:rPr>
          <w:rFonts w:ascii="Times New Roman" w:hAnsi="Times New Roman" w:cs="Times New Roman"/>
          <w:b/>
          <w:sz w:val="24"/>
          <w:szCs w:val="24"/>
        </w:rPr>
        <w:t>ОСОБЕННОСТИ ГРАЖДАНСКО-ПРАВОВОЙ ОТВЕТСТВЕННОСТИ ИНФОРМАЦИОННОГО ПОСРЕДНИКА</w:t>
      </w:r>
    </w:p>
    <w:p w14:paraId="2EF6546B" w14:textId="77777777" w:rsidR="001B6C3B" w:rsidRDefault="001B6C3B" w:rsidP="001B6C3B">
      <w:pPr>
        <w:spacing w:after="0" w:line="240" w:lineRule="auto"/>
        <w:ind w:firstLine="709"/>
        <w:jc w:val="center"/>
        <w:rPr>
          <w:rFonts w:ascii="Times New Roman" w:hAnsi="Times New Roman" w:cs="Times New Roman"/>
          <w:b/>
          <w:sz w:val="24"/>
          <w:szCs w:val="24"/>
          <w:lang w:val="en-US"/>
        </w:rPr>
      </w:pPr>
      <w:r>
        <w:rPr>
          <w:rFonts w:ascii="Times New Roman" w:hAnsi="Times New Roman" w:cs="Times New Roman"/>
          <w:b/>
          <w:sz w:val="24"/>
          <w:szCs w:val="24"/>
          <w:lang w:val="en-US"/>
        </w:rPr>
        <w:t>FEATURES OF CIVIL LIABILITY OF AN INFORMATION INTERMEDIARY</w:t>
      </w:r>
    </w:p>
    <w:p w14:paraId="3B1149A4" w14:textId="77777777" w:rsidR="001B6C3B" w:rsidRDefault="001B6C3B" w:rsidP="001B6C3B">
      <w:pPr>
        <w:spacing w:after="0" w:line="240" w:lineRule="auto"/>
        <w:ind w:firstLine="709"/>
        <w:jc w:val="both"/>
        <w:rPr>
          <w:rFonts w:ascii="Times New Roman" w:hAnsi="Times New Roman" w:cs="Times New Roman"/>
          <w:b/>
          <w:sz w:val="24"/>
          <w:szCs w:val="24"/>
          <w:lang w:val="en-US"/>
        </w:rPr>
      </w:pPr>
    </w:p>
    <w:p w14:paraId="2142EEF9"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i/>
          <w:sz w:val="24"/>
          <w:szCs w:val="24"/>
        </w:rPr>
        <w:t xml:space="preserve">Аннотация: </w:t>
      </w:r>
      <w:r>
        <w:rPr>
          <w:rFonts w:ascii="Times New Roman" w:hAnsi="Times New Roman" w:cs="Times New Roman"/>
          <w:sz w:val="24"/>
          <w:szCs w:val="24"/>
        </w:rPr>
        <w:t>В настоящей статье автор анализирует содержание статьи 1253.1 Гражданского кодекса Российской Федерации, посвященной специфике ответственности информационных посредников. В статье рассматривается сущность вины информационных посредников, и приводятся некоторые особенности юридической ответственности информационных посредников за нарушение прав интеллектуальной собственности.</w:t>
      </w:r>
    </w:p>
    <w:p w14:paraId="1FD68A7F"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i/>
          <w:sz w:val="24"/>
          <w:szCs w:val="24"/>
        </w:rPr>
        <w:t>Ключевые слова:</w:t>
      </w:r>
      <w:r>
        <w:rPr>
          <w:rFonts w:ascii="Times New Roman" w:hAnsi="Times New Roman" w:cs="Times New Roman"/>
          <w:sz w:val="24"/>
          <w:szCs w:val="24"/>
        </w:rPr>
        <w:t xml:space="preserve"> интернет; информационный посредник; интеллектуальные права; провайдер; авторские права; посредник; поисковая система; сайт; информация; гражданское право.</w:t>
      </w:r>
    </w:p>
    <w:p w14:paraId="048BDAEB" w14:textId="77777777" w:rsidR="001B6C3B" w:rsidRDefault="001B6C3B" w:rsidP="001B6C3B">
      <w:pPr>
        <w:spacing w:after="0" w:line="240" w:lineRule="auto"/>
        <w:ind w:firstLine="709"/>
        <w:jc w:val="both"/>
        <w:rPr>
          <w:rFonts w:ascii="Times New Roman" w:hAnsi="Times New Roman" w:cs="Times New Roman"/>
          <w:i/>
          <w:sz w:val="24"/>
          <w:szCs w:val="24"/>
          <w:lang w:val="en-US"/>
        </w:rPr>
      </w:pPr>
      <w:r>
        <w:rPr>
          <w:rFonts w:ascii="Times New Roman" w:hAnsi="Times New Roman" w:cs="Times New Roman"/>
          <w:i/>
          <w:sz w:val="24"/>
          <w:szCs w:val="24"/>
        </w:rPr>
        <w:t>А</w:t>
      </w:r>
      <w:r>
        <w:rPr>
          <w:rFonts w:ascii="Times New Roman" w:hAnsi="Times New Roman" w:cs="Times New Roman"/>
          <w:i/>
          <w:sz w:val="24"/>
          <w:szCs w:val="24"/>
          <w:lang w:val="en-US"/>
        </w:rPr>
        <w:t xml:space="preserve">nnotation: </w:t>
      </w:r>
      <w:r>
        <w:rPr>
          <w:rFonts w:ascii="Times New Roman" w:hAnsi="Times New Roman" w:cs="Times New Roman"/>
          <w:sz w:val="24"/>
          <w:szCs w:val="24"/>
          <w:lang w:val="en-US"/>
        </w:rPr>
        <w:t>In this article, the author analyzes the content of article 1253.1 of the Civil code of the Russian Federation, dedicated to the specifics of the responsibility of information intermediaries. The article examines the essence of the fault of information intermediaries, and provides some features of the legal responsibility of information intermediaries for violation of intellectual property rights.</w:t>
      </w:r>
    </w:p>
    <w:p w14:paraId="045A265E" w14:textId="77777777" w:rsidR="001B6C3B" w:rsidRDefault="001B6C3B" w:rsidP="001B6C3B">
      <w:pPr>
        <w:spacing w:after="0" w:line="240" w:lineRule="auto"/>
        <w:ind w:firstLine="709"/>
        <w:jc w:val="both"/>
        <w:rPr>
          <w:rFonts w:ascii="Times New Roman" w:hAnsi="Times New Roman" w:cs="Times New Roman"/>
          <w:sz w:val="24"/>
          <w:szCs w:val="24"/>
          <w:lang w:val="en-US"/>
        </w:rPr>
      </w:pPr>
      <w:r>
        <w:rPr>
          <w:rFonts w:ascii="Times New Roman" w:hAnsi="Times New Roman" w:cs="Times New Roman"/>
          <w:i/>
          <w:sz w:val="24"/>
          <w:szCs w:val="24"/>
          <w:lang w:val="en-US"/>
        </w:rPr>
        <w:t>Keywords:</w:t>
      </w:r>
      <w:r>
        <w:rPr>
          <w:rFonts w:ascii="Times New Roman" w:hAnsi="Times New Roman" w:cs="Times New Roman"/>
          <w:sz w:val="24"/>
          <w:szCs w:val="24"/>
          <w:lang w:val="en-US"/>
        </w:rPr>
        <w:t xml:space="preserve"> internet; information intermediary; intellectual property rights; provider; copyright; intermediary; search engine; website; information; civil law.</w:t>
      </w:r>
    </w:p>
    <w:p w14:paraId="117E9215" w14:textId="77777777" w:rsidR="001B6C3B" w:rsidRDefault="001B6C3B" w:rsidP="001B6C3B">
      <w:pPr>
        <w:spacing w:after="0" w:line="240" w:lineRule="auto"/>
        <w:ind w:firstLine="709"/>
        <w:jc w:val="both"/>
        <w:rPr>
          <w:rFonts w:ascii="Times New Roman" w:hAnsi="Times New Roman" w:cs="Times New Roman"/>
          <w:i/>
          <w:sz w:val="24"/>
          <w:szCs w:val="24"/>
          <w:lang w:val="en-US"/>
        </w:rPr>
      </w:pPr>
    </w:p>
    <w:p w14:paraId="3FB6F05E"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До июля 2013 года в российском законодательстве не было специальных норм, которые позволяли привлекать информационных посредников к ответственности за предоставление возможности размещать незаконный контент. Российское законодательство разработало положения, касающиеся нарушения смежных и авторских прав в сети «Интернет». Федеральный закон от 2 июля 2013 года № 187-ФЗ «О внесении изменений в отдельные законодательные акты Российской Федерации по вопросам защиты интеллектуальной прав в информационно-телекоммуникационных сетях» вступил в силу и внес необходимые изменения в законодательство для правового регулирования этого механизма. Закон вносит </w:t>
      </w:r>
      <w:r>
        <w:rPr>
          <w:rFonts w:ascii="Times New Roman" w:hAnsi="Times New Roman" w:cs="Times New Roman"/>
          <w:sz w:val="24"/>
          <w:szCs w:val="24"/>
        </w:rPr>
        <w:lastRenderedPageBreak/>
        <w:t>изменения в законодательные акты и кодексы, регулирующие вопросы защиты прав интеллектуальных прав в сети «Интернет»</w:t>
      </w:r>
      <w:r>
        <w:rPr>
          <w:rStyle w:val="a7"/>
          <w:rFonts w:ascii="Times New Roman" w:hAnsi="Times New Roman" w:cs="Times New Roman"/>
          <w:sz w:val="24"/>
          <w:szCs w:val="24"/>
        </w:rPr>
        <w:footnoteReference w:id="110"/>
      </w:r>
      <w:r>
        <w:rPr>
          <w:rFonts w:ascii="Times New Roman" w:hAnsi="Times New Roman" w:cs="Times New Roman"/>
          <w:sz w:val="24"/>
          <w:szCs w:val="24"/>
        </w:rPr>
        <w:t>. Согласно статье 4 настоящего Закона часть четвертая Гражданского кодекса Российской Федерации (далее - ГК РФ) дополнена статьей 1253.1 «Особенности ответственности информационного посредника»</w:t>
      </w:r>
      <w:r>
        <w:rPr>
          <w:rStyle w:val="a7"/>
          <w:rFonts w:ascii="Times New Roman" w:hAnsi="Times New Roman" w:cs="Times New Roman"/>
          <w:sz w:val="24"/>
          <w:szCs w:val="24"/>
        </w:rPr>
        <w:footnoteReference w:id="111"/>
      </w:r>
      <w:r>
        <w:rPr>
          <w:rFonts w:ascii="Times New Roman" w:hAnsi="Times New Roman" w:cs="Times New Roman"/>
          <w:sz w:val="24"/>
          <w:szCs w:val="24"/>
        </w:rPr>
        <w:t>.</w:t>
      </w:r>
    </w:p>
    <w:p w14:paraId="68301D96"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Как известно, информационный посредник - это лицо, передающее материал в информационно-телекоммуникационную сеть (операторы (провайдеры) сети «Интернет») или предоставляющее возможность размещения материала (администраторы сайтов и хостинг-провайдеры). Администраторы сайта могут выступать в качестве информационных посредников в том случае, если они позволяют пользователям самостоятельно моделировать сайт или его часть, создавать сообщения и загружать файлы, доступные третьим лицам.</w:t>
      </w:r>
    </w:p>
    <w:p w14:paraId="18EC02B9"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Информационный посредник несет виновную ответственность за нарушение интеллектуальных прав в информационно-телекоммуникационной сети на общих основаниях. Такие основания предусмотрены только Гражданским кодексом Российской Федерации.</w:t>
      </w:r>
    </w:p>
    <w:p w14:paraId="31313705"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Наличие вины является необходимым условием привлечения посредников к ответственности. Как выделил О. В. Гутников, основанием для юридической ответственности информационных посредников может быть вина, понимаемая как непринятие предупреждающих мер во избежание негативных последствий «при той степени заботливости и осмотрительности, требуемой по условиям оборота», «вина в субъективном смысле в виде умысла на причинение вреда», или «риск как умышленное допущение негативных последствий»</w:t>
      </w:r>
      <w:r>
        <w:rPr>
          <w:rStyle w:val="a7"/>
          <w:rFonts w:ascii="Times New Roman" w:hAnsi="Times New Roman" w:cs="Times New Roman"/>
          <w:sz w:val="24"/>
          <w:szCs w:val="24"/>
        </w:rPr>
        <w:footnoteReference w:id="112"/>
      </w:r>
      <w:r>
        <w:rPr>
          <w:rFonts w:ascii="Times New Roman" w:hAnsi="Times New Roman" w:cs="Times New Roman"/>
          <w:sz w:val="24"/>
          <w:szCs w:val="24"/>
        </w:rPr>
        <w:t>.</w:t>
      </w:r>
    </w:p>
    <w:p w14:paraId="48187D0E"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На данный момент «степень заботливости и осмотрительности» не определена, и вопрос о возложении на посредников ответственности за мониторинг размещаемой информации все еще остается открытым. Суды общей юрисдикции требуют осуществлять последующий мониторинг. В то время как арбитражные суды выступают против этого обязательства, хотя Роскомнадзор частично выполняет эту функцию.</w:t>
      </w:r>
    </w:p>
    <w:p w14:paraId="6E824B70"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Ю.Т. Гульбин считает функцию мониторинга интеллектуальных прав эффективным средством минимизации количества нарушений в сфере интеллектуальной собственности «без дополнительной административной и бюджетной нагрузки». Отмечает, что штрафы, налагаемые на информационных посредников, привлеченных к гражданской ответственности, могут превышать стоимость мониторинга</w:t>
      </w:r>
      <w:r>
        <w:rPr>
          <w:rStyle w:val="a7"/>
          <w:rFonts w:ascii="Times New Roman" w:hAnsi="Times New Roman" w:cs="Times New Roman"/>
          <w:sz w:val="24"/>
          <w:szCs w:val="24"/>
        </w:rPr>
        <w:footnoteReference w:id="113"/>
      </w:r>
      <w:r>
        <w:rPr>
          <w:rFonts w:ascii="Times New Roman" w:hAnsi="Times New Roman" w:cs="Times New Roman"/>
          <w:sz w:val="24"/>
          <w:szCs w:val="24"/>
        </w:rPr>
        <w:t xml:space="preserve">. </w:t>
      </w:r>
    </w:p>
    <w:p w14:paraId="17950139"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Несовершенное законодательство порождает различные подходы к проблеме определения вины. Понимание вины в субъективном смысле в виде умысла и как сознательного допущения негативных последствий не соответствует сущности юридической ответственности информационных посредников. Поскольку даже при наличии технической возможности контролировать взаимоотношения пользователей информационно-телекоммуникационных сетей провайдер, привлекаемый к ответственности, зачастую не знает о нарушениях</w:t>
      </w:r>
      <w:r>
        <w:rPr>
          <w:rStyle w:val="a7"/>
          <w:rFonts w:ascii="Times New Roman" w:hAnsi="Times New Roman" w:cs="Times New Roman"/>
          <w:sz w:val="24"/>
          <w:szCs w:val="24"/>
        </w:rPr>
        <w:footnoteReference w:id="114"/>
      </w:r>
      <w:r>
        <w:rPr>
          <w:rFonts w:ascii="Times New Roman" w:hAnsi="Times New Roman" w:cs="Times New Roman"/>
          <w:sz w:val="24"/>
          <w:szCs w:val="24"/>
        </w:rPr>
        <w:t>. Вопрос добросовестности также неуместен в отношениях, где в качестве субъектов выступают, например, владельцы сайтов с миллионами пользователей.</w:t>
      </w:r>
    </w:p>
    <w:p w14:paraId="4A5CB329"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Таким образом, вина состоит  не в совершении правонарушения, заключающегося в распространении, передаче информации, посягательстве на объекты интеллектуальной собственности правообладателей, а в создании условий для их нарушения.</w:t>
      </w:r>
    </w:p>
    <w:p w14:paraId="6152025C"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Особенность ответственности информационного посредника заключается в следующем. Такие особенности зависят в первую очередь от типа посредника.</w:t>
      </w:r>
    </w:p>
    <w:p w14:paraId="223174CA"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Правообладатель, планирующий подать иск о нарушении своих прав, должен знать, в каких случаях информационный посредник освобождается от ответственности. Оператор связи (провайдер) - это информационный посредник, передающий сведения в информационно-телекоммуникационной сети. Он предоставляет доступ в интернет неограниченному кругу лиц</w:t>
      </w:r>
      <w:r>
        <w:rPr>
          <w:rStyle w:val="a7"/>
          <w:rFonts w:ascii="Times New Roman" w:hAnsi="Times New Roman" w:cs="Times New Roman"/>
          <w:sz w:val="24"/>
          <w:szCs w:val="24"/>
        </w:rPr>
        <w:footnoteReference w:id="115"/>
      </w:r>
      <w:r>
        <w:rPr>
          <w:rFonts w:ascii="Times New Roman" w:hAnsi="Times New Roman" w:cs="Times New Roman"/>
          <w:sz w:val="24"/>
          <w:szCs w:val="24"/>
        </w:rPr>
        <w:t>.</w:t>
      </w:r>
    </w:p>
    <w:p w14:paraId="5E5A3C67"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Если информационный посредник передал незаконный контент, то он не будет нести за это ответственности, при условии, что он:</w:t>
      </w:r>
    </w:p>
    <w:p w14:paraId="46CC1F26"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передал спорный материал не по своей инициативе, и не определял получателя;</w:t>
      </w:r>
    </w:p>
    <w:p w14:paraId="1FD3C594"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при предоставлении услуг связи спорный материал не был изменен;</w:t>
      </w:r>
    </w:p>
    <w:p w14:paraId="1A4F9144"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не знал и не должен был знать, что спорный материал содержит элементы, использование которых является незаконным (ч. 2 ст. 1253.1 ГК РФ).</w:t>
      </w:r>
    </w:p>
    <w:p w14:paraId="798490A7"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Второй тип информационных посредников - это хостинг-провайдеры и компании- регистраторы доменных имен. Данные компании регистрируют новые сайты, предоставляют им пространство и поддерживают оборудование, необходимое для функционирования сети. Такие информационные посредники предоставляют широкому кругу лиц возможность размещать определенную информацию. Отсюда следует, что информационный посредник не передавал сам контент, а лишь предоставлял возможность для его размещения, тогда он не будет отвечать при следующих условиях:</w:t>
      </w:r>
    </w:p>
    <w:p w14:paraId="6DAE4449"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-он не знал и не должен был знать, что использование или публикация этой информации связано с нарушением прав и включает в себя элементы, которые используются незаконно;</w:t>
      </w:r>
    </w:p>
    <w:p w14:paraId="517E9AD5"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принял меры по пресечению нарушения, когда правообладатель уведомил об этом в надлежащей форме и указал ресурс, на котором была опубликована информация (п. 3 ст. 1253.1 ГК РФ).</w:t>
      </w:r>
    </w:p>
    <w:p w14:paraId="0106B007"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Поэтому в указанных выше ситуациях информационный посредник освобождается от ответственности за нарушение интеллектуальных прав. Такие субъекты будут подлежать такой мере защиты, как пресечение нарушений</w:t>
      </w:r>
      <w:r>
        <w:rPr>
          <w:rStyle w:val="a7"/>
          <w:rFonts w:ascii="Times New Roman" w:hAnsi="Times New Roman" w:cs="Times New Roman"/>
          <w:sz w:val="24"/>
          <w:szCs w:val="24"/>
        </w:rPr>
        <w:footnoteReference w:id="116"/>
      </w:r>
      <w:r>
        <w:rPr>
          <w:rFonts w:ascii="Times New Roman" w:hAnsi="Times New Roman" w:cs="Times New Roman"/>
          <w:sz w:val="24"/>
          <w:szCs w:val="24"/>
        </w:rPr>
        <w:t>.</w:t>
      </w:r>
    </w:p>
    <w:p w14:paraId="789BBD6E"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Третий тип информационных посредников - это непосредственные владельцы сайтов и других ресурсов, на которых размещена информация. К ним относят владельцев торрент-трекеров, поисковых систем, социальных сетей, форумов, сайтов с возможностью комментирования, а также сайтов, позволяющих публиковать ссылки на контент. </w:t>
      </w:r>
      <w:r>
        <w:rPr>
          <w:rFonts w:ascii="Times New Roman" w:hAnsi="Times New Roman" w:cs="Times New Roman"/>
          <w:sz w:val="24"/>
          <w:szCs w:val="24"/>
        </w:rPr>
        <w:tab/>
        <w:t xml:space="preserve">Законодатель освобождает таких посредников от ответственности при соблюдении условий пункта 5 статьи 1253.1 ГК РФ: </w:t>
      </w:r>
    </w:p>
    <w:p w14:paraId="09BF0A58"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посредник не должен был инициировать передачу спорных сведений и определять их получателя;</w:t>
      </w:r>
    </w:p>
    <w:p w14:paraId="00FC87D9"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-не изменил спорный материал при предоставлении услуг связи;</w:t>
      </w:r>
    </w:p>
    <w:p w14:paraId="72F433F2"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-не знал и не должен был знать о нарушении в отношении правообладателя, произошедшем при передаче спорного материала;</w:t>
      </w:r>
    </w:p>
    <w:p w14:paraId="1D79B9E3"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принял меры по пресечению нарушения исключительных прав правообладателя при получении им уведомления с указанием интернет-адреса ресурса.</w:t>
      </w:r>
    </w:p>
    <w:p w14:paraId="61DCF8ED"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Если информационный посредник нарушает хотя бы одно из этих условий, он начинает нести ответственность перед правообладателем.</w:t>
      </w:r>
    </w:p>
    <w:p w14:paraId="75469687"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статье 1253.1 ГК РФ говорится, что перечень необходимых и достаточных мер может быть установлен законом, но на данный момент он нигде не закреплен. Это, как и критерий </w:t>
      </w:r>
      <w:r>
        <w:rPr>
          <w:rFonts w:ascii="Times New Roman" w:hAnsi="Times New Roman" w:cs="Times New Roman"/>
          <w:sz w:val="24"/>
          <w:szCs w:val="24"/>
        </w:rPr>
        <w:lastRenderedPageBreak/>
        <w:t>своевременности, создает правовую неопределенность, которая негативно сказывается на деятельности информационных посредников</w:t>
      </w:r>
      <w:r>
        <w:rPr>
          <w:rStyle w:val="a7"/>
          <w:rFonts w:ascii="Times New Roman" w:hAnsi="Times New Roman" w:cs="Times New Roman"/>
          <w:sz w:val="24"/>
          <w:szCs w:val="24"/>
        </w:rPr>
        <w:footnoteReference w:id="117"/>
      </w:r>
      <w:r>
        <w:rPr>
          <w:rFonts w:ascii="Times New Roman" w:hAnsi="Times New Roman" w:cs="Times New Roman"/>
          <w:sz w:val="24"/>
          <w:szCs w:val="24"/>
        </w:rPr>
        <w:t>.</w:t>
      </w:r>
    </w:p>
    <w:p w14:paraId="3009B19B"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С другой стороны, несмотря на то, что информационные посредники могут действовать не только в сети Интернет, но и в других информационно-телекоммуникационных сетях, сетевой адрес в заявлении должен быть указан в сети «Интернет», что необоснованно сужает круг лиц, которые могут нести ответственность за незаконное размещение информации. Важно отметить, что даже в тех случаях, когда информационный посредник не несет ответственности за нарушение интеллектуальных прав, к нему могут быть предъявлены требования, не связанным с применением мер гражданско-правовой ответственности, таких как удаление незаконной информации или ограничение доступа к ней. Эти положения направлены на защиту интересов правообладателей и соответствуют общим требованиям по пресечению противоправного поведения даже при отсутствии вины</w:t>
      </w:r>
      <w:r>
        <w:rPr>
          <w:rStyle w:val="a7"/>
          <w:rFonts w:ascii="Times New Roman" w:hAnsi="Times New Roman" w:cs="Times New Roman"/>
          <w:sz w:val="24"/>
          <w:szCs w:val="24"/>
        </w:rPr>
        <w:footnoteReference w:id="118"/>
      </w:r>
      <w:r>
        <w:rPr>
          <w:rFonts w:ascii="Times New Roman" w:hAnsi="Times New Roman" w:cs="Times New Roman"/>
          <w:sz w:val="24"/>
          <w:szCs w:val="24"/>
        </w:rPr>
        <w:t>. Из приведенного выше анализа следует, что статья 1253.1 ГК РФ содержит необоснованные отклонения, как в интересах правообладателей, так и в интересах общества, и поэтому нуждается в серьезной доработке.</w:t>
      </w:r>
    </w:p>
    <w:p w14:paraId="7EEF44D2"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Таким образом, обобщая все вышесказанное, можно сделать вывод о том, для привлечения информационных посредников к ответственности необходимо наличие вины, понимаемой как непринятие достаточных мер по предотвращению причинения вреда, что привело к созданию условий для нарушения прав интеллектуальной собственности. При этом «достаточность» не уточняется и не разъясняется в законодательстве, что выражается в неоднозначной позиции судов по отношению к введению мониторинга как обязанности провайдеров. Кроме того, ограничение ответственности информационных посредников может распространяться только на две категории: тех, кто передает материал, и тех, кто предоставляет возможность размещать материал. При определении критериев используются абстрактные формулировки «знал или должен был знать» и «необходимые и достаточные меры», которые условно можно разделить на две группы: превентивные меры и меры, принятые после совершения правонарушения. Сроки осуществления этих мер также неясны. Следовательно, законодательство Российской Федерации нуждается в серьезном дополнении и переработке в части норм, регулирующих ответственность информационных посредников.</w:t>
      </w:r>
    </w:p>
    <w:p w14:paraId="3C30315D" w14:textId="77777777" w:rsidR="001B6C3B" w:rsidRDefault="001B6C3B" w:rsidP="001B6C3B">
      <w:pPr>
        <w:spacing w:after="0" w:line="240" w:lineRule="auto"/>
        <w:ind w:firstLine="709"/>
        <w:jc w:val="both"/>
        <w:rPr>
          <w:rFonts w:ascii="Times New Roman" w:hAnsi="Times New Roman" w:cs="Times New Roman"/>
          <w:sz w:val="24"/>
          <w:szCs w:val="24"/>
        </w:rPr>
      </w:pPr>
    </w:p>
    <w:p w14:paraId="1FE2870B" w14:textId="77777777" w:rsidR="001B6C3B" w:rsidRPr="00F734BA" w:rsidRDefault="001B6C3B" w:rsidP="001B6C3B">
      <w:pPr>
        <w:spacing w:after="0" w:line="240" w:lineRule="auto"/>
        <w:ind w:firstLine="709"/>
        <w:jc w:val="both"/>
        <w:rPr>
          <w:rFonts w:ascii="Times New Roman" w:hAnsi="Times New Roman" w:cs="Times New Roman"/>
          <w:b/>
          <w:sz w:val="24"/>
          <w:szCs w:val="24"/>
        </w:rPr>
      </w:pPr>
      <w:r w:rsidRPr="00F734BA">
        <w:rPr>
          <w:rFonts w:ascii="Times New Roman" w:hAnsi="Times New Roman" w:cs="Times New Roman"/>
          <w:b/>
          <w:sz w:val="24"/>
          <w:szCs w:val="24"/>
        </w:rPr>
        <w:t>Библиографический список</w:t>
      </w:r>
    </w:p>
    <w:p w14:paraId="506364B2" w14:textId="77777777" w:rsidR="001B6C3B" w:rsidRPr="00F734BA" w:rsidRDefault="001B6C3B" w:rsidP="001B6C3B">
      <w:pPr>
        <w:spacing w:after="0" w:line="240" w:lineRule="auto"/>
        <w:ind w:firstLine="709"/>
        <w:jc w:val="both"/>
        <w:rPr>
          <w:rFonts w:ascii="Times New Roman" w:hAnsi="Times New Roman" w:cs="Times New Roman"/>
          <w:sz w:val="24"/>
          <w:szCs w:val="24"/>
        </w:rPr>
      </w:pPr>
    </w:p>
    <w:p w14:paraId="101AE73F" w14:textId="77777777" w:rsidR="001B6C3B" w:rsidRPr="00F734BA" w:rsidRDefault="001B6C3B" w:rsidP="00E3198A">
      <w:pPr>
        <w:pStyle w:val="a4"/>
        <w:numPr>
          <w:ilvl w:val="0"/>
          <w:numId w:val="12"/>
        </w:numPr>
        <w:spacing w:after="0" w:line="240" w:lineRule="auto"/>
        <w:ind w:left="0" w:firstLine="709"/>
        <w:jc w:val="both"/>
        <w:rPr>
          <w:rFonts w:ascii="Times New Roman" w:hAnsi="Times New Roman" w:cs="Times New Roman"/>
          <w:sz w:val="24"/>
          <w:szCs w:val="24"/>
        </w:rPr>
      </w:pPr>
      <w:r w:rsidRPr="00F734BA">
        <w:rPr>
          <w:rFonts w:ascii="Times New Roman" w:hAnsi="Times New Roman" w:cs="Times New Roman"/>
          <w:iCs/>
          <w:sz w:val="24"/>
          <w:szCs w:val="24"/>
        </w:rPr>
        <w:t>Батухтина С.А.</w:t>
      </w:r>
      <w:r w:rsidRPr="00F734BA">
        <w:rPr>
          <w:rFonts w:ascii="Times New Roman" w:hAnsi="Times New Roman" w:cs="Times New Roman"/>
          <w:sz w:val="24"/>
          <w:szCs w:val="24"/>
        </w:rPr>
        <w:t xml:space="preserve"> </w:t>
      </w:r>
      <w:hyperlink r:id="rId21" w:history="1">
        <w:r w:rsidRPr="00F734BA">
          <w:rPr>
            <w:rStyle w:val="a9"/>
            <w:rFonts w:ascii="Times New Roman" w:hAnsi="Times New Roman" w:cs="Times New Roman"/>
            <w:bCs/>
            <w:color w:val="auto"/>
            <w:sz w:val="24"/>
            <w:szCs w:val="24"/>
          </w:rPr>
          <w:t>Вина информационных посредников и некоторые особенности юридической ответственности за нарушение ими прав интеллектуальной собственности</w:t>
        </w:r>
      </w:hyperlink>
      <w:r w:rsidRPr="00F734BA">
        <w:rPr>
          <w:rFonts w:ascii="Times New Roman" w:hAnsi="Times New Roman" w:cs="Times New Roman"/>
          <w:sz w:val="24"/>
          <w:szCs w:val="24"/>
        </w:rPr>
        <w:t>: сборник статей XXV Международного научно-исследовательского конкурса: в 2 ч. - 2019. - С. 142-146.</w:t>
      </w:r>
    </w:p>
    <w:p w14:paraId="7326028C" w14:textId="77777777" w:rsidR="001B6C3B" w:rsidRPr="00F734BA" w:rsidRDefault="001B6C3B" w:rsidP="00E3198A">
      <w:pPr>
        <w:pStyle w:val="a4"/>
        <w:numPr>
          <w:ilvl w:val="0"/>
          <w:numId w:val="12"/>
        </w:numPr>
        <w:spacing w:after="0" w:line="240" w:lineRule="auto"/>
        <w:ind w:left="0" w:firstLine="709"/>
        <w:jc w:val="both"/>
        <w:rPr>
          <w:rFonts w:ascii="Times New Roman" w:hAnsi="Times New Roman" w:cs="Times New Roman"/>
          <w:sz w:val="24"/>
          <w:szCs w:val="24"/>
        </w:rPr>
      </w:pPr>
      <w:r w:rsidRPr="00F734BA">
        <w:rPr>
          <w:rFonts w:ascii="Times New Roman" w:hAnsi="Times New Roman" w:cs="Times New Roman"/>
          <w:sz w:val="24"/>
          <w:szCs w:val="24"/>
        </w:rPr>
        <w:t>Городов О.А. Ответственность информационных посредников // Патенты и лицензии. Интеллектуальные права.-  2017. -  №7. - С. 2-8.</w:t>
      </w:r>
    </w:p>
    <w:p w14:paraId="143CAA93" w14:textId="77777777" w:rsidR="001B6C3B" w:rsidRPr="00F734BA" w:rsidRDefault="001B6C3B" w:rsidP="00E3198A">
      <w:pPr>
        <w:pStyle w:val="a4"/>
        <w:numPr>
          <w:ilvl w:val="0"/>
          <w:numId w:val="12"/>
        </w:numPr>
        <w:spacing w:after="0" w:line="240" w:lineRule="auto"/>
        <w:ind w:left="0" w:firstLine="709"/>
        <w:jc w:val="both"/>
        <w:rPr>
          <w:rFonts w:ascii="Times New Roman" w:hAnsi="Times New Roman" w:cs="Times New Roman"/>
          <w:sz w:val="24"/>
          <w:szCs w:val="24"/>
        </w:rPr>
      </w:pPr>
      <w:r w:rsidRPr="00F734BA">
        <w:rPr>
          <w:rFonts w:ascii="Times New Roman" w:hAnsi="Times New Roman" w:cs="Times New Roman"/>
          <w:sz w:val="24"/>
          <w:szCs w:val="24"/>
        </w:rPr>
        <w:t>Гульбин Ю.Т. Интеллектуальные права на результат интеллектуальной деятельности. - М.: Юрсерватум, 2014.- С.132-138.</w:t>
      </w:r>
    </w:p>
    <w:p w14:paraId="76688AA9" w14:textId="77777777" w:rsidR="001B6C3B" w:rsidRPr="00F734BA" w:rsidRDefault="001B6C3B" w:rsidP="00E3198A">
      <w:pPr>
        <w:pStyle w:val="a4"/>
        <w:numPr>
          <w:ilvl w:val="0"/>
          <w:numId w:val="12"/>
        </w:numPr>
        <w:spacing w:after="0" w:line="240" w:lineRule="auto"/>
        <w:ind w:left="0" w:firstLine="709"/>
        <w:jc w:val="both"/>
        <w:rPr>
          <w:rFonts w:ascii="Times New Roman" w:hAnsi="Times New Roman" w:cs="Times New Roman"/>
          <w:sz w:val="24"/>
          <w:szCs w:val="24"/>
        </w:rPr>
      </w:pPr>
      <w:r w:rsidRPr="00F734BA">
        <w:rPr>
          <w:rFonts w:ascii="Times New Roman" w:hAnsi="Times New Roman" w:cs="Times New Roman"/>
          <w:sz w:val="24"/>
          <w:szCs w:val="24"/>
        </w:rPr>
        <w:t>Гутников О.В. Гражданско-правовая ответственность в отношениях, связанных с управлением юридическими лицами: автореф. дис...д-р юрид. наук: 12.00.03. М., 2018. - 57 с.</w:t>
      </w:r>
    </w:p>
    <w:p w14:paraId="239C7D9E" w14:textId="77777777" w:rsidR="001B6C3B" w:rsidRDefault="001B6C3B" w:rsidP="00E3198A">
      <w:pPr>
        <w:pStyle w:val="a4"/>
        <w:numPr>
          <w:ilvl w:val="0"/>
          <w:numId w:val="12"/>
        </w:numPr>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Еременко В. И. Совершенствование законодательства в сфере защиты интеллектуальных прав в информационно-телекоммуникационных сетях // Законодательство и экономика. - 2015. - № 8. - С. 19-28.</w:t>
      </w:r>
    </w:p>
    <w:p w14:paraId="458BD291" w14:textId="77777777" w:rsidR="001B6C3B" w:rsidRDefault="001B6C3B" w:rsidP="00E3198A">
      <w:pPr>
        <w:pStyle w:val="a4"/>
        <w:numPr>
          <w:ilvl w:val="0"/>
          <w:numId w:val="12"/>
        </w:numPr>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lastRenderedPageBreak/>
        <w:t>Понамарев А. А. Особенности ответственности информационного посредника по российскому законодательству // Социально-экономические и правовые проблемы современной России: материалы XV ежегодной студенческой научной конференции, состоявшейся 18 апреля 2014. - Томск, 2015. - С. 120-123.</w:t>
      </w:r>
    </w:p>
    <w:p w14:paraId="2019D90C" w14:textId="77777777" w:rsidR="001B6C3B" w:rsidRDefault="001B6C3B" w:rsidP="00E3198A">
      <w:pPr>
        <w:pStyle w:val="a4"/>
        <w:numPr>
          <w:ilvl w:val="0"/>
          <w:numId w:val="12"/>
        </w:numPr>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Терещенко Л.К., Тиунов О.И Информационные посредники в российском праве // Журнал зарубежного законодательства и сравнительного правоведения. - 2016. - № 6. - С. 46-51</w:t>
      </w:r>
    </w:p>
    <w:p w14:paraId="1AA86911" w14:textId="77777777" w:rsidR="001B6C3B" w:rsidRDefault="001B6C3B" w:rsidP="001B6C3B">
      <w:pPr>
        <w:spacing w:after="0" w:line="240" w:lineRule="auto"/>
        <w:rPr>
          <w:rFonts w:ascii="Times New Roman" w:hAnsi="Times New Roman" w:cs="Times New Roman"/>
          <w:sz w:val="24"/>
          <w:szCs w:val="24"/>
        </w:rPr>
        <w:sectPr w:rsidR="001B6C3B">
          <w:footnotePr>
            <w:numRestart w:val="eachPage"/>
          </w:footnotePr>
          <w:pgSz w:w="11906" w:h="16838"/>
          <w:pgMar w:top="1134" w:right="1134" w:bottom="1134" w:left="1134" w:header="709" w:footer="709" w:gutter="0"/>
          <w:cols w:space="720"/>
        </w:sectPr>
      </w:pPr>
    </w:p>
    <w:p w14:paraId="49D3847F" w14:textId="77777777" w:rsidR="001B6C3B" w:rsidRDefault="001B6C3B" w:rsidP="001B6C3B">
      <w:pPr>
        <w:rPr>
          <w:rFonts w:ascii="Times New Roman" w:hAnsi="Times New Roman" w:cs="Times New Roman"/>
        </w:rPr>
      </w:pPr>
    </w:p>
    <w:p w14:paraId="528ED560" w14:textId="77777777" w:rsidR="001B6C3B" w:rsidRDefault="001B6C3B" w:rsidP="001B6C3B">
      <w:pPr>
        <w:spacing w:after="0" w:line="240" w:lineRule="auto"/>
        <w:ind w:left="5245"/>
        <w:jc w:val="both"/>
        <w:rPr>
          <w:rFonts w:ascii="Times New Roman" w:hAnsi="Times New Roman" w:cs="Times New Roman"/>
          <w:b/>
          <w:bCs/>
          <w:sz w:val="24"/>
          <w:szCs w:val="24"/>
        </w:rPr>
      </w:pPr>
      <w:r>
        <w:rPr>
          <w:rFonts w:ascii="Times New Roman" w:hAnsi="Times New Roman" w:cs="Times New Roman"/>
          <w:b/>
          <w:bCs/>
          <w:sz w:val="24"/>
          <w:szCs w:val="24"/>
        </w:rPr>
        <w:t>УДК 347.121.2</w:t>
      </w:r>
    </w:p>
    <w:p w14:paraId="4C9CAA87" w14:textId="77777777" w:rsidR="001B6C3B" w:rsidRDefault="001B6C3B" w:rsidP="001B6C3B">
      <w:pPr>
        <w:spacing w:after="0" w:line="240" w:lineRule="auto"/>
        <w:jc w:val="both"/>
        <w:rPr>
          <w:rFonts w:ascii="Times New Roman" w:hAnsi="Times New Roman" w:cs="Times New Roman"/>
          <w:sz w:val="24"/>
          <w:szCs w:val="24"/>
        </w:rPr>
      </w:pPr>
    </w:p>
    <w:p w14:paraId="3146D10A" w14:textId="77777777" w:rsidR="001B6C3B" w:rsidRDefault="001B6C3B" w:rsidP="001B6C3B">
      <w:pPr>
        <w:spacing w:after="0" w:line="240" w:lineRule="auto"/>
        <w:ind w:left="5245"/>
        <w:jc w:val="both"/>
        <w:rPr>
          <w:rFonts w:ascii="Times New Roman" w:hAnsi="Times New Roman" w:cs="Times New Roman"/>
          <w:b/>
          <w:bCs/>
          <w:sz w:val="24"/>
          <w:szCs w:val="24"/>
        </w:rPr>
      </w:pPr>
      <w:r>
        <w:rPr>
          <w:rFonts w:ascii="Times New Roman" w:hAnsi="Times New Roman" w:cs="Times New Roman"/>
          <w:b/>
          <w:bCs/>
          <w:sz w:val="24"/>
          <w:szCs w:val="24"/>
        </w:rPr>
        <w:t>Галстян Арпеник Вартановна</w:t>
      </w:r>
    </w:p>
    <w:p w14:paraId="04CE37DD" w14:textId="77777777" w:rsidR="001B6C3B" w:rsidRDefault="001B6C3B" w:rsidP="001B6C3B">
      <w:pPr>
        <w:spacing w:after="0" w:line="240" w:lineRule="auto"/>
        <w:ind w:left="5245"/>
        <w:jc w:val="both"/>
        <w:rPr>
          <w:rFonts w:ascii="Times New Roman" w:hAnsi="Times New Roman" w:cs="Times New Roman"/>
          <w:b/>
          <w:bCs/>
          <w:sz w:val="24"/>
          <w:szCs w:val="24"/>
        </w:rPr>
      </w:pPr>
      <w:r>
        <w:rPr>
          <w:rFonts w:ascii="Times New Roman" w:hAnsi="Times New Roman" w:cs="Times New Roman"/>
          <w:b/>
          <w:bCs/>
          <w:sz w:val="24"/>
          <w:szCs w:val="24"/>
        </w:rPr>
        <w:t>Galstyan Arpenik Vartanovna</w:t>
      </w:r>
    </w:p>
    <w:p w14:paraId="7641DAD8" w14:textId="77777777" w:rsidR="001B6C3B" w:rsidRDefault="001B6C3B" w:rsidP="001B6C3B">
      <w:pPr>
        <w:spacing w:after="0" w:line="240" w:lineRule="auto"/>
        <w:ind w:left="5245"/>
        <w:jc w:val="both"/>
        <w:rPr>
          <w:rFonts w:ascii="Times New Roman" w:hAnsi="Times New Roman" w:cs="Times New Roman"/>
          <w:sz w:val="24"/>
          <w:szCs w:val="24"/>
        </w:rPr>
      </w:pPr>
      <w:r>
        <w:rPr>
          <w:rFonts w:ascii="Times New Roman" w:hAnsi="Times New Roman" w:cs="Times New Roman"/>
          <w:sz w:val="24"/>
          <w:szCs w:val="24"/>
        </w:rPr>
        <w:t xml:space="preserve">Магистрант Федеральное государственное бюджетное образовательное учреждение высшего образования </w:t>
      </w:r>
      <w:r>
        <w:rPr>
          <w:rFonts w:ascii="Times New Roman" w:hAnsi="Times New Roman" w:cs="Times New Roman"/>
          <w:sz w:val="24"/>
          <w:szCs w:val="24"/>
        </w:rPr>
        <w:br/>
        <w:t>«Кубанский государственный аграрный университет имени И.Т. Трубилина»</w:t>
      </w:r>
    </w:p>
    <w:p w14:paraId="57758E33" w14:textId="77777777" w:rsidR="001B6C3B" w:rsidRDefault="001B6C3B" w:rsidP="001B6C3B">
      <w:pPr>
        <w:spacing w:after="0" w:line="240" w:lineRule="auto"/>
        <w:ind w:left="5245"/>
        <w:jc w:val="both"/>
        <w:rPr>
          <w:rStyle w:val="ab"/>
          <w:i w:val="0"/>
          <w:iCs w:val="0"/>
          <w:lang w:val="en-US"/>
        </w:rPr>
      </w:pPr>
      <w:r>
        <w:rPr>
          <w:rStyle w:val="ab"/>
          <w:sz w:val="24"/>
          <w:szCs w:val="24"/>
          <w:lang w:val="en-US"/>
        </w:rPr>
        <w:t xml:space="preserve">Federal State Budgetary Educational Institution of Higher Education </w:t>
      </w:r>
      <w:r>
        <w:rPr>
          <w:i/>
          <w:iCs/>
          <w:sz w:val="24"/>
          <w:szCs w:val="24"/>
          <w:lang w:val="en-US"/>
        </w:rPr>
        <w:br/>
      </w:r>
      <w:r>
        <w:rPr>
          <w:rStyle w:val="ab"/>
          <w:sz w:val="24"/>
          <w:szCs w:val="24"/>
          <w:lang w:val="en-US"/>
        </w:rPr>
        <w:t>«Kuban State Agrarian University named after I.T. Trubilin»</w:t>
      </w:r>
    </w:p>
    <w:p w14:paraId="53DD0C93" w14:textId="77777777" w:rsidR="001B6C3B" w:rsidRDefault="001B6C3B" w:rsidP="001B6C3B">
      <w:pPr>
        <w:spacing w:after="0" w:line="240" w:lineRule="auto"/>
        <w:ind w:left="5245"/>
        <w:jc w:val="both"/>
        <w:rPr>
          <w:rFonts w:ascii="Times New Roman" w:hAnsi="Times New Roman" w:cs="Times New Roman"/>
        </w:rPr>
      </w:pPr>
      <w:r>
        <w:rPr>
          <w:rFonts w:ascii="Times New Roman" w:hAnsi="Times New Roman" w:cs="Times New Roman"/>
          <w:sz w:val="24"/>
          <w:szCs w:val="24"/>
        </w:rPr>
        <w:t>Российская Федерация, г. Краснодар</w:t>
      </w:r>
    </w:p>
    <w:p w14:paraId="62383945" w14:textId="77777777" w:rsidR="001B6C3B" w:rsidRDefault="001B6C3B" w:rsidP="001B6C3B">
      <w:pPr>
        <w:spacing w:after="0" w:line="240" w:lineRule="auto"/>
        <w:ind w:left="5245"/>
        <w:jc w:val="both"/>
        <w:rPr>
          <w:rStyle w:val="ab"/>
          <w:i w:val="0"/>
          <w:iCs w:val="0"/>
        </w:rPr>
      </w:pPr>
      <w:r>
        <w:rPr>
          <w:rStyle w:val="ab"/>
          <w:sz w:val="24"/>
          <w:szCs w:val="24"/>
          <w:lang w:val="en-US"/>
        </w:rPr>
        <w:t>Russian</w:t>
      </w:r>
      <w:r w:rsidRPr="00430C1C">
        <w:rPr>
          <w:rStyle w:val="ab"/>
          <w:sz w:val="24"/>
          <w:szCs w:val="24"/>
        </w:rPr>
        <w:t xml:space="preserve"> </w:t>
      </w:r>
      <w:r>
        <w:rPr>
          <w:rStyle w:val="ab"/>
          <w:sz w:val="24"/>
          <w:szCs w:val="24"/>
          <w:lang w:val="en-US"/>
        </w:rPr>
        <w:t>Federation</w:t>
      </w:r>
      <w:r>
        <w:rPr>
          <w:rStyle w:val="ab"/>
          <w:sz w:val="24"/>
          <w:szCs w:val="24"/>
        </w:rPr>
        <w:t xml:space="preserve">, </w:t>
      </w:r>
      <w:r>
        <w:rPr>
          <w:rStyle w:val="ab"/>
          <w:sz w:val="24"/>
          <w:szCs w:val="24"/>
          <w:lang w:val="en-US"/>
        </w:rPr>
        <w:t>Krasnodar</w:t>
      </w:r>
    </w:p>
    <w:p w14:paraId="21F9EC0D" w14:textId="77777777" w:rsidR="001B6C3B" w:rsidRDefault="00EE7838" w:rsidP="001B6C3B">
      <w:pPr>
        <w:spacing w:after="0" w:line="240" w:lineRule="auto"/>
        <w:ind w:left="5245"/>
        <w:jc w:val="both"/>
        <w:rPr>
          <w:rFonts w:ascii="Times New Roman" w:hAnsi="Times New Roman" w:cs="Times New Roman"/>
        </w:rPr>
      </w:pPr>
      <w:hyperlink r:id="rId22" w:history="1">
        <w:r w:rsidR="001B6C3B">
          <w:rPr>
            <w:rStyle w:val="a9"/>
            <w:rFonts w:ascii="Times New Roman" w:hAnsi="Times New Roman" w:cs="Times New Roman"/>
            <w:sz w:val="24"/>
            <w:szCs w:val="24"/>
            <w:lang w:val="en-US"/>
          </w:rPr>
          <w:t>arpenik</w:t>
        </w:r>
        <w:r w:rsidR="001B6C3B">
          <w:rPr>
            <w:rStyle w:val="a9"/>
            <w:rFonts w:ascii="Times New Roman" w:hAnsi="Times New Roman" w:cs="Times New Roman"/>
            <w:sz w:val="24"/>
            <w:szCs w:val="24"/>
          </w:rPr>
          <w:t>97@</w:t>
        </w:r>
        <w:r w:rsidR="001B6C3B">
          <w:rPr>
            <w:rStyle w:val="a9"/>
            <w:rFonts w:ascii="Times New Roman" w:hAnsi="Times New Roman" w:cs="Times New Roman"/>
            <w:sz w:val="24"/>
            <w:szCs w:val="24"/>
            <w:lang w:val="en-US"/>
          </w:rPr>
          <w:t>icloud</w:t>
        </w:r>
        <w:r w:rsidR="001B6C3B">
          <w:rPr>
            <w:rStyle w:val="a9"/>
            <w:rFonts w:ascii="Times New Roman" w:hAnsi="Times New Roman" w:cs="Times New Roman"/>
            <w:sz w:val="24"/>
            <w:szCs w:val="24"/>
          </w:rPr>
          <w:t>.</w:t>
        </w:r>
        <w:r w:rsidR="001B6C3B">
          <w:rPr>
            <w:rStyle w:val="a9"/>
            <w:rFonts w:ascii="Times New Roman" w:hAnsi="Times New Roman" w:cs="Times New Roman"/>
            <w:sz w:val="24"/>
            <w:szCs w:val="24"/>
            <w:lang w:val="en-US"/>
          </w:rPr>
          <w:t>com</w:t>
        </w:r>
      </w:hyperlink>
      <w:r w:rsidR="001B6C3B" w:rsidRPr="00430C1C">
        <w:rPr>
          <w:rFonts w:ascii="Times New Roman" w:hAnsi="Times New Roman" w:cs="Times New Roman"/>
          <w:sz w:val="24"/>
          <w:szCs w:val="24"/>
        </w:rPr>
        <w:t xml:space="preserve"> </w:t>
      </w:r>
    </w:p>
    <w:p w14:paraId="0BE17C5A" w14:textId="77777777" w:rsidR="001B6C3B" w:rsidRDefault="001B6C3B" w:rsidP="001B6C3B">
      <w:pPr>
        <w:spacing w:after="0" w:line="240" w:lineRule="auto"/>
        <w:ind w:left="5245"/>
        <w:jc w:val="both"/>
        <w:rPr>
          <w:rFonts w:ascii="Times New Roman" w:hAnsi="Times New Roman" w:cs="Times New Roman"/>
          <w:sz w:val="24"/>
          <w:szCs w:val="24"/>
        </w:rPr>
      </w:pPr>
      <w:r>
        <w:rPr>
          <w:rFonts w:ascii="Times New Roman" w:hAnsi="Times New Roman" w:cs="Times New Roman"/>
          <w:sz w:val="24"/>
          <w:szCs w:val="24"/>
        </w:rPr>
        <w:t xml:space="preserve">Гринь Елена Анатольевна, к.ю.н., доцент </w:t>
      </w:r>
    </w:p>
    <w:p w14:paraId="646C4310" w14:textId="77777777" w:rsidR="001B6C3B" w:rsidRDefault="001B6C3B" w:rsidP="001B6C3B">
      <w:pPr>
        <w:spacing w:after="0" w:line="240" w:lineRule="auto"/>
        <w:ind w:firstLine="709"/>
        <w:jc w:val="both"/>
        <w:rPr>
          <w:rFonts w:ascii="Times New Roman" w:hAnsi="Times New Roman" w:cs="Times New Roman"/>
          <w:sz w:val="24"/>
          <w:szCs w:val="24"/>
        </w:rPr>
      </w:pPr>
    </w:p>
    <w:p w14:paraId="2855A9C3" w14:textId="77777777" w:rsidR="001B6C3B" w:rsidRDefault="001B6C3B" w:rsidP="001B6C3B">
      <w:pPr>
        <w:spacing w:after="0" w:line="240" w:lineRule="auto"/>
        <w:ind w:firstLine="709"/>
        <w:jc w:val="both"/>
        <w:rPr>
          <w:rFonts w:ascii="Times New Roman" w:hAnsi="Times New Roman" w:cs="Times New Roman"/>
          <w:sz w:val="24"/>
          <w:szCs w:val="24"/>
        </w:rPr>
      </w:pPr>
    </w:p>
    <w:p w14:paraId="795E555C" w14:textId="77777777" w:rsidR="001B6C3B" w:rsidRDefault="001B6C3B" w:rsidP="001B6C3B">
      <w:pPr>
        <w:spacing w:after="0" w:line="240" w:lineRule="auto"/>
        <w:ind w:firstLine="709"/>
        <w:jc w:val="center"/>
        <w:rPr>
          <w:rFonts w:ascii="Times New Roman" w:hAnsi="Times New Roman" w:cs="Times New Roman"/>
          <w:b/>
          <w:bCs/>
          <w:sz w:val="24"/>
          <w:szCs w:val="24"/>
        </w:rPr>
      </w:pPr>
      <w:r>
        <w:rPr>
          <w:rFonts w:ascii="Times New Roman" w:hAnsi="Times New Roman" w:cs="Times New Roman"/>
          <w:b/>
          <w:bCs/>
          <w:sz w:val="24"/>
          <w:szCs w:val="24"/>
        </w:rPr>
        <w:t>РОЛЬ ОРГАНОВ ОПЕКИ И ПОПЕЧИТЕЛЬСТВА В ИМУЩЕСТВЕННЫХ ПРАВАХ НЕСОВЕРШЕННОЛЕТНИХ: АНАЛИЗ РОССИЙСКОГО ЗАКОНОДАТЕЛЬСТВА</w:t>
      </w:r>
    </w:p>
    <w:p w14:paraId="32FD9B1D" w14:textId="77777777" w:rsidR="001B6C3B" w:rsidRDefault="001B6C3B" w:rsidP="001B6C3B">
      <w:pPr>
        <w:spacing w:after="0" w:line="240" w:lineRule="auto"/>
        <w:ind w:firstLine="709"/>
        <w:jc w:val="center"/>
        <w:rPr>
          <w:rFonts w:ascii="Times New Roman" w:hAnsi="Times New Roman" w:cs="Times New Roman"/>
          <w:b/>
          <w:bCs/>
          <w:sz w:val="24"/>
          <w:szCs w:val="24"/>
        </w:rPr>
      </w:pPr>
    </w:p>
    <w:p w14:paraId="46348891" w14:textId="77777777" w:rsidR="001B6C3B" w:rsidRDefault="001B6C3B" w:rsidP="001B6C3B">
      <w:pPr>
        <w:spacing w:after="0" w:line="240" w:lineRule="auto"/>
        <w:ind w:firstLine="709"/>
        <w:jc w:val="center"/>
        <w:rPr>
          <w:rFonts w:ascii="Times New Roman" w:hAnsi="Times New Roman" w:cs="Times New Roman"/>
          <w:b/>
          <w:bCs/>
          <w:sz w:val="24"/>
          <w:szCs w:val="24"/>
        </w:rPr>
      </w:pPr>
    </w:p>
    <w:p w14:paraId="68680521" w14:textId="77777777" w:rsidR="001B6C3B" w:rsidRDefault="001B6C3B" w:rsidP="001B6C3B">
      <w:pPr>
        <w:spacing w:after="0" w:line="240" w:lineRule="auto"/>
        <w:ind w:firstLine="709"/>
        <w:jc w:val="center"/>
        <w:rPr>
          <w:rFonts w:ascii="Times New Roman" w:hAnsi="Times New Roman" w:cs="Times New Roman"/>
          <w:b/>
          <w:bCs/>
          <w:sz w:val="24"/>
          <w:szCs w:val="24"/>
          <w:shd w:val="clear" w:color="auto" w:fill="FFFFFF"/>
          <w:lang w:val="en-US"/>
        </w:rPr>
      </w:pPr>
      <w:r>
        <w:rPr>
          <w:rFonts w:ascii="Times New Roman" w:hAnsi="Times New Roman" w:cs="Times New Roman"/>
          <w:b/>
          <w:bCs/>
          <w:sz w:val="24"/>
          <w:szCs w:val="24"/>
          <w:shd w:val="clear" w:color="auto" w:fill="FFFFFF"/>
          <w:lang w:val="en-US"/>
        </w:rPr>
        <w:t>THE ROLE OF GUARDIANS AND GUARDIANS IN PROPERTY RIGHTS OF THE MINORS: ANALYSIS OF RUSSIAN LEGISLATION</w:t>
      </w:r>
    </w:p>
    <w:p w14:paraId="7999B6C0" w14:textId="77777777" w:rsidR="001B6C3B" w:rsidRDefault="001B6C3B" w:rsidP="001B6C3B">
      <w:pPr>
        <w:spacing w:after="0" w:line="240" w:lineRule="auto"/>
        <w:ind w:firstLine="709"/>
        <w:jc w:val="both"/>
        <w:rPr>
          <w:rFonts w:ascii="Times New Roman" w:hAnsi="Times New Roman" w:cs="Times New Roman"/>
          <w:b/>
          <w:bCs/>
          <w:sz w:val="24"/>
          <w:szCs w:val="24"/>
          <w:lang w:val="en-US"/>
        </w:rPr>
      </w:pPr>
    </w:p>
    <w:p w14:paraId="1904D5F2" w14:textId="77777777" w:rsidR="001B6C3B" w:rsidRDefault="001B6C3B" w:rsidP="001B6C3B">
      <w:pPr>
        <w:spacing w:after="0" w:line="240" w:lineRule="auto"/>
        <w:ind w:firstLine="709"/>
        <w:jc w:val="both"/>
        <w:rPr>
          <w:rFonts w:ascii="Times New Roman" w:hAnsi="Times New Roman" w:cs="Times New Roman"/>
          <w:b/>
          <w:bCs/>
          <w:sz w:val="24"/>
          <w:szCs w:val="24"/>
          <w:lang w:val="en-US"/>
        </w:rPr>
      </w:pPr>
    </w:p>
    <w:p w14:paraId="6990517F"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i/>
          <w:iCs/>
          <w:sz w:val="24"/>
          <w:szCs w:val="24"/>
        </w:rPr>
        <w:t>Аннотация.</w:t>
      </w:r>
      <w:r>
        <w:rPr>
          <w:rFonts w:ascii="Times New Roman" w:hAnsi="Times New Roman" w:cs="Times New Roman"/>
          <w:sz w:val="24"/>
          <w:szCs w:val="24"/>
        </w:rPr>
        <w:t xml:space="preserve"> В данной статье проводится анализ нормативных правовых актов, регулирующих работу органов опеки и попечительства в части защиты и охраны имущественных прав несовершеннолетних, а также их соотношение с основным законом, регулирующим деятельность органов опеки и попечительства. Подробно разбирается в каких случаях и с какими условиями родители, опекуны или попечители могут отчуждать имущество несовершеннолетнего.</w:t>
      </w:r>
    </w:p>
    <w:p w14:paraId="609351E5"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i/>
          <w:iCs/>
          <w:sz w:val="24"/>
          <w:szCs w:val="24"/>
        </w:rPr>
        <w:t>Ключевые слова:</w:t>
      </w:r>
      <w:r>
        <w:rPr>
          <w:rFonts w:ascii="Times New Roman" w:hAnsi="Times New Roman" w:cs="Times New Roman"/>
          <w:sz w:val="24"/>
          <w:szCs w:val="24"/>
        </w:rPr>
        <w:t xml:space="preserve"> имущественные права несовершеннолетних; несовершеннолетние; органы опеки и попечительства; защита прав несовершеннолетних; защита жилищных прав несовершеннолетних.</w:t>
      </w:r>
    </w:p>
    <w:p w14:paraId="0EB9B974" w14:textId="77777777" w:rsidR="001B6C3B" w:rsidRDefault="001B6C3B" w:rsidP="001B6C3B">
      <w:pPr>
        <w:spacing w:after="0" w:line="240" w:lineRule="auto"/>
        <w:ind w:firstLine="709"/>
        <w:jc w:val="both"/>
        <w:rPr>
          <w:rFonts w:ascii="Times New Roman" w:hAnsi="Times New Roman" w:cs="Times New Roman"/>
          <w:sz w:val="24"/>
          <w:szCs w:val="24"/>
        </w:rPr>
      </w:pPr>
    </w:p>
    <w:p w14:paraId="060C42E7" w14:textId="77777777" w:rsidR="001B6C3B" w:rsidRDefault="001B6C3B" w:rsidP="001B6C3B">
      <w:pPr>
        <w:spacing w:after="0" w:line="240" w:lineRule="auto"/>
        <w:ind w:firstLine="709"/>
        <w:jc w:val="both"/>
        <w:rPr>
          <w:rFonts w:ascii="Times New Roman" w:hAnsi="Times New Roman" w:cs="Times New Roman"/>
          <w:sz w:val="24"/>
          <w:szCs w:val="24"/>
          <w:lang w:val="en-US"/>
        </w:rPr>
      </w:pPr>
      <w:r>
        <w:rPr>
          <w:rFonts w:ascii="Times New Roman" w:hAnsi="Times New Roman" w:cs="Times New Roman"/>
          <w:i/>
          <w:iCs/>
          <w:sz w:val="24"/>
          <w:szCs w:val="24"/>
          <w:lang w:val="en-US"/>
        </w:rPr>
        <w:t>Annotation.</w:t>
      </w:r>
      <w:r>
        <w:rPr>
          <w:rFonts w:ascii="Times New Roman" w:hAnsi="Times New Roman" w:cs="Times New Roman"/>
          <w:sz w:val="24"/>
          <w:szCs w:val="24"/>
          <w:lang w:val="en-US"/>
        </w:rPr>
        <w:t xml:space="preserve"> </w:t>
      </w:r>
      <w:r>
        <w:rPr>
          <w:rFonts w:ascii="Times New Roman" w:hAnsi="Times New Roman" w:cs="Times New Roman"/>
          <w:sz w:val="24"/>
          <w:szCs w:val="24"/>
          <w:shd w:val="clear" w:color="auto" w:fill="FFFFFF"/>
          <w:lang w:val="en-US"/>
        </w:rPr>
        <w:t>This article analyzes the regulatory legal acts governing the work of guardianship and guardianship authorities regarding the protection and protection of property rights of minors, as well as their relationship with the basic law governing the activities of guardianship and guardianship authorities. He understands in detail in what cases and with what conditions parents, guardians or trustees can alienate the property of a minor.</w:t>
      </w:r>
    </w:p>
    <w:p w14:paraId="1F6F4E65" w14:textId="77777777" w:rsidR="001B6C3B" w:rsidRDefault="001B6C3B" w:rsidP="001B6C3B">
      <w:pPr>
        <w:spacing w:after="0" w:line="240" w:lineRule="auto"/>
        <w:ind w:firstLine="709"/>
        <w:jc w:val="both"/>
        <w:rPr>
          <w:rFonts w:ascii="Times New Roman" w:hAnsi="Times New Roman" w:cs="Times New Roman"/>
          <w:sz w:val="24"/>
          <w:szCs w:val="24"/>
          <w:lang w:val="en-US"/>
        </w:rPr>
      </w:pPr>
      <w:r>
        <w:rPr>
          <w:rFonts w:ascii="Times New Roman" w:hAnsi="Times New Roman" w:cs="Times New Roman"/>
          <w:i/>
          <w:iCs/>
          <w:sz w:val="24"/>
          <w:szCs w:val="24"/>
          <w:lang w:val="en-US"/>
        </w:rPr>
        <w:t>Key words:</w:t>
      </w:r>
      <w:r>
        <w:rPr>
          <w:rFonts w:ascii="Times New Roman" w:hAnsi="Times New Roman" w:cs="Times New Roman"/>
          <w:sz w:val="24"/>
          <w:szCs w:val="24"/>
          <w:lang w:val="en-US"/>
        </w:rPr>
        <w:t xml:space="preserve"> property rights of minors; minors; guardianship authorities; protection of the rights of minors; protection of housing rights of minors.</w:t>
      </w:r>
    </w:p>
    <w:p w14:paraId="0C1F2E32" w14:textId="77777777" w:rsidR="001B6C3B" w:rsidRDefault="001B6C3B" w:rsidP="001B6C3B">
      <w:pPr>
        <w:spacing w:after="0" w:line="240" w:lineRule="auto"/>
        <w:ind w:firstLine="709"/>
        <w:jc w:val="both"/>
        <w:rPr>
          <w:rFonts w:ascii="Times New Roman" w:hAnsi="Times New Roman" w:cs="Times New Roman"/>
          <w:sz w:val="24"/>
          <w:szCs w:val="24"/>
          <w:lang w:val="en-US"/>
        </w:rPr>
      </w:pPr>
    </w:p>
    <w:p w14:paraId="233BDBCE"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Органы опеки и попечительства в Российской Федерации представляют собой органы исполнительной власти субъектов РФ, которые в процессе осуществления своих полномочий, выявляют лиц, нуждающихся в установлении над ними опеки или попечительства по той или иной причине, а так же указанные органы осуществляют прием, проверку и подготовку </w:t>
      </w:r>
      <w:r>
        <w:rPr>
          <w:rFonts w:ascii="Times New Roman" w:hAnsi="Times New Roman" w:cs="Times New Roman"/>
          <w:sz w:val="24"/>
          <w:szCs w:val="24"/>
        </w:rPr>
        <w:lastRenderedPageBreak/>
        <w:t>граждан, которые хотят стать опекунами или попечителями. Это основные полномочия органов опеки и попечительства, но далеко не единственные.</w:t>
      </w:r>
    </w:p>
    <w:p w14:paraId="4A6C24AF"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Так же органы опеки и попечительства призваны осуществлять контроль за имуществом несовершеннолетних, не зависимо от того, находятся ли несовершеннолетние под опекой родителей или же остались без родительского попечения. К тому же в необходимых случаях органы опеки и попечительства следят за осуществлением защиты имущественных прав и интересов несовершеннолетних.</w:t>
      </w:r>
    </w:p>
    <w:p w14:paraId="31C825EA"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Основным нормативным правовым актом, регулирующим деятельность органов опеки и попечительства, является Федеральный закон от 24 апреля 2008 № 48-ФЗ «Об опеке и попечительстве»</w:t>
      </w:r>
      <w:r>
        <w:rPr>
          <w:rStyle w:val="a7"/>
          <w:rFonts w:ascii="Times New Roman" w:hAnsi="Times New Roman" w:cs="Times New Roman"/>
          <w:sz w:val="24"/>
          <w:szCs w:val="24"/>
        </w:rPr>
        <w:footnoteReference w:id="119"/>
      </w:r>
      <w:r>
        <w:rPr>
          <w:rFonts w:ascii="Times New Roman" w:hAnsi="Times New Roman" w:cs="Times New Roman"/>
          <w:sz w:val="24"/>
          <w:szCs w:val="24"/>
        </w:rPr>
        <w:t>. Указанный закон, в основном, регулирует отношения между подопечным и опекуном или попечителем, в том числе правовой режим имущества подопечных. Считаем целесообразным подробно разобрать положения об имущественных отношениях опекунов и попечителей с подопечными.</w:t>
      </w:r>
    </w:p>
    <w:p w14:paraId="666361C4"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Так, в ФЗ № 48-ФЗ «Об опеке и попечительстве» закрепляется основное положение, касаемо имущественных прав опекунов и попечителей на имущество подопечных, согласно которому опекун или попечитель не имеет никаких прав на имущество подопечного, и наоборот. Стоит отметить, что рассматриваемый закон под «имуществом подопечного» рассматривает не только какое-либо недвижимое имущество (например, частный дом, жилое помещение и др.), но и алименты, пенсии, пособия и иные социальный выплаты, которые предоставляются государством или родителем на содержание конкретного подопечного.</w:t>
      </w:r>
    </w:p>
    <w:p w14:paraId="0DAA7B4A"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К тому же закон довольно жестко устанавливает запрет на использование опекунами или попечителями имущества подопечных в своих интересах. Однако из этого запрета есть исключение, заключающееся в то, что органы опеки и попечительства могут разрешить при наличии просьбы опекуна или попечителя (с обязательным условием добросовестного исполнения своих обязанностей), вместо выплаты вознаграждения, безвозмездно пользоваться имуществом подопечного в своих интересах. Такое разрешение оформляется договором, в котором обязательно должны быть подробно прописаны следующие моменты: </w:t>
      </w:r>
    </w:p>
    <w:p w14:paraId="60488C9D"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состав имущества подопечного, которым разрешено пользоваться опекуну или попечителю; </w:t>
      </w:r>
    </w:p>
    <w:p w14:paraId="5A474EDB"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срок пользования указанным имуществом. </w:t>
      </w:r>
    </w:p>
    <w:p w14:paraId="7CA91001"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Однако, стоит отметить, что при наличии указанного разрешения у попечителя или опекуна, органы опеки и попечительства более строго следят за пользованием имуществом подопечного и сохраняют за собой одностороннее право досрочного прекращения такого пользования имуществом в двух случаях, указанных законом: </w:t>
      </w:r>
    </w:p>
    <w:p w14:paraId="7CD7FE81"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в случае неисполнения или ненадлежащего исполнения опекуном или попечителем своих обязанностей;</w:t>
      </w:r>
    </w:p>
    <w:p w14:paraId="054B9CB8"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в случае установления факта существенного нарушения опекуном или попечителем имущественных прав и интересов подопечных.</w:t>
      </w:r>
    </w:p>
    <w:p w14:paraId="40C7EA14"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Из этого положения можно сделать вывод, что разрешение у опекунов и попечителей пользоваться имуществом подопечных в своих интересах носит далеко не абсолютный характер, и подвергается постоянному наблюдению и контролю со стороны органов опеки и попечительства, так как несовершеннолетние подопечные не могут самостоятельно защищать свое имущество и свои имущественные права от кого-либо. </w:t>
      </w:r>
    </w:p>
    <w:p w14:paraId="506BD3B0"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К тому же ФЗ № 48-ФЗ «Об опеке и попечительстве» содержит в себе строгий запрет на отчуждение имущества подопечного, устанавливая некоторые случаи, носящие исключительный характер: </w:t>
      </w:r>
    </w:p>
    <w:p w14:paraId="53A4D948" w14:textId="77777777" w:rsidR="001B6C3B" w:rsidRDefault="001B6C3B" w:rsidP="00E3198A">
      <w:pPr>
        <w:pStyle w:val="a4"/>
        <w:numPr>
          <w:ilvl w:val="0"/>
          <w:numId w:val="13"/>
        </w:numPr>
        <w:tabs>
          <w:tab w:val="left" w:pos="1134"/>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в случае обращения взыскания на предмет залога;</w:t>
      </w:r>
    </w:p>
    <w:p w14:paraId="763090E5" w14:textId="77777777" w:rsidR="001B6C3B" w:rsidRDefault="001B6C3B" w:rsidP="00E3198A">
      <w:pPr>
        <w:pStyle w:val="a4"/>
        <w:numPr>
          <w:ilvl w:val="0"/>
          <w:numId w:val="13"/>
        </w:numPr>
        <w:tabs>
          <w:tab w:val="left" w:pos="1134"/>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отчуждение по договору ренты, с условием, что такой договор совершается к выгоде подопечного;</w:t>
      </w:r>
    </w:p>
    <w:p w14:paraId="4033970E" w14:textId="77777777" w:rsidR="001B6C3B" w:rsidRDefault="001B6C3B" w:rsidP="00E3198A">
      <w:pPr>
        <w:pStyle w:val="a4"/>
        <w:numPr>
          <w:ilvl w:val="0"/>
          <w:numId w:val="13"/>
        </w:numPr>
        <w:tabs>
          <w:tab w:val="left" w:pos="1134"/>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lastRenderedPageBreak/>
        <w:t>отчуждение по договору мены, с условием, что такой договор совершается к выгоде подопечного;</w:t>
      </w:r>
    </w:p>
    <w:p w14:paraId="1636C34A" w14:textId="77777777" w:rsidR="001B6C3B" w:rsidRDefault="001B6C3B" w:rsidP="00E3198A">
      <w:pPr>
        <w:pStyle w:val="a4"/>
        <w:numPr>
          <w:ilvl w:val="0"/>
          <w:numId w:val="13"/>
        </w:numPr>
        <w:tabs>
          <w:tab w:val="left" w:pos="1134"/>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отчуждение жилого помещения, принадлежащего подопечному, при перемене места жительства подопечного;</w:t>
      </w:r>
    </w:p>
    <w:p w14:paraId="4DEEA122" w14:textId="77777777" w:rsidR="001B6C3B" w:rsidRDefault="001B6C3B" w:rsidP="00E3198A">
      <w:pPr>
        <w:pStyle w:val="a4"/>
        <w:numPr>
          <w:ilvl w:val="0"/>
          <w:numId w:val="13"/>
        </w:numPr>
        <w:tabs>
          <w:tab w:val="left" w:pos="1134"/>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в исключительных случаях, если требует интересы подопечного (например, необходимость оплаты дорогостоящего лечения и др.).</w:t>
      </w:r>
    </w:p>
    <w:p w14:paraId="56A8787B" w14:textId="77777777" w:rsidR="001B6C3B" w:rsidRDefault="001B6C3B" w:rsidP="001B6C3B">
      <w:pPr>
        <w:pStyle w:val="a4"/>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 xml:space="preserve">Как можно заметить указанный перечень исключений из жесткого правила носит исчерпывающий характер и, в целях защиты и сохранения имущества и имущественных прав несовершеннолетних, не подлежит расширению. При этом, при возникновении исключительных случаев отчуждения недвижимого имущества у несовершеннолетних подопечных, органы опеки и попечительства в обязательном порядке должны выдать опекуну или попечителю предварительное разрешение на совершение указанных действий, которое носит письменную форму. </w:t>
      </w:r>
    </w:p>
    <w:p w14:paraId="1822EC70" w14:textId="77777777" w:rsidR="001B6C3B" w:rsidRDefault="001B6C3B" w:rsidP="001B6C3B">
      <w:pPr>
        <w:pStyle w:val="a4"/>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Такое предварительное разрешение необходимо для того, чтобы защитить недвижимое имущество несовершеннолетнего от отчуждения или уменьшения стоимости данного имущества.</w:t>
      </w:r>
    </w:p>
    <w:p w14:paraId="0ED551CB" w14:textId="77777777" w:rsidR="001B6C3B" w:rsidRDefault="001B6C3B" w:rsidP="001B6C3B">
      <w:pPr>
        <w:pStyle w:val="a4"/>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При этом, у органов опеки и попечительства есть право отказать в выдаче такого разрешения, но обязательно с указанием мотивов, которые повлекли за собой отказ. Так же закон сохраняет право как у опекуна или попечителя, так и у иных заинтересованных лиц, в том числе и прокурора</w:t>
      </w:r>
      <w:r>
        <w:rPr>
          <w:rStyle w:val="a7"/>
          <w:rFonts w:ascii="Times New Roman" w:hAnsi="Times New Roman" w:cs="Times New Roman"/>
          <w:sz w:val="24"/>
          <w:szCs w:val="24"/>
        </w:rPr>
        <w:footnoteReference w:id="120"/>
      </w:r>
      <w:r>
        <w:rPr>
          <w:rFonts w:ascii="Times New Roman" w:hAnsi="Times New Roman" w:cs="Times New Roman"/>
          <w:sz w:val="24"/>
          <w:szCs w:val="24"/>
        </w:rPr>
        <w:t>, оспорить не только отказ в выдаче предварительного разрешения, но и саму выдачу этого разрешения в судебном порядке.</w:t>
      </w:r>
    </w:p>
    <w:p w14:paraId="28AF88B4" w14:textId="77777777" w:rsidR="001B6C3B" w:rsidRDefault="001B6C3B" w:rsidP="001B6C3B">
      <w:pPr>
        <w:pStyle w:val="a4"/>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 xml:space="preserve">В случае, если орган опеки и попечительства обнаружит факт заключения договора от имени несовершеннолетнего на отчуждение его имущества или уменьшения стоимости данного имущества без соответствующего разрешения, орган опеки и попечительства обязан незамедлительно обратиться от имени несовершеннолетнего в суд с требованием о расторжении такого договора и возврата имущества несовершеннолетнему, исключением является, как уже отмечалось ранее, случай когда договор заключен к выгоде несовершеннолетнего. </w:t>
      </w:r>
    </w:p>
    <w:p w14:paraId="711C1E74"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Помимо рассмотренного ФЗ № 48-ФЗ «Об опеке и попечительстве», защиту имущества и имущественных прав несовершеннолетних регулирует ряд других нормативных правовых актов. </w:t>
      </w:r>
    </w:p>
    <w:p w14:paraId="5EC949C4"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Так, статья 37 Гражданского кодекса РФ</w:t>
      </w:r>
      <w:r>
        <w:rPr>
          <w:rStyle w:val="a7"/>
          <w:rFonts w:ascii="Times New Roman" w:hAnsi="Times New Roman" w:cs="Times New Roman"/>
          <w:sz w:val="24"/>
          <w:szCs w:val="24"/>
        </w:rPr>
        <w:footnoteReference w:id="121"/>
      </w:r>
      <w:r>
        <w:rPr>
          <w:rFonts w:ascii="Times New Roman" w:hAnsi="Times New Roman" w:cs="Times New Roman"/>
          <w:sz w:val="24"/>
          <w:szCs w:val="24"/>
        </w:rPr>
        <w:t xml:space="preserve"> содержит в себе те же положения, что и ФЗ № 48-ФЗ «Об опеке и попечительстве», добавляя при это запрет не только опекуну или попечителю, но и их супругам и близким родственникам на совершение сделок с подопечным несовершеннолетним, за исключением передачи имущества подопечному в качестве дара или в безвозмездное пользование.</w:t>
      </w:r>
    </w:p>
    <w:p w14:paraId="6B1FC755"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Статья 60 Семейного кодекса РФ</w:t>
      </w:r>
      <w:r>
        <w:rPr>
          <w:rStyle w:val="a7"/>
          <w:rFonts w:ascii="Times New Roman" w:hAnsi="Times New Roman" w:cs="Times New Roman"/>
          <w:sz w:val="24"/>
          <w:szCs w:val="24"/>
        </w:rPr>
        <w:footnoteReference w:id="122"/>
      </w:r>
      <w:r>
        <w:rPr>
          <w:rFonts w:ascii="Times New Roman" w:hAnsi="Times New Roman" w:cs="Times New Roman"/>
          <w:sz w:val="24"/>
          <w:szCs w:val="24"/>
        </w:rPr>
        <w:t xml:space="preserve"> регулирует имущественные права несовершеннолетнего с его родителями, которые выступают в роли его опекунов. Так, суммы, которые причитаются несовершеннолетнему в качестве алиментов, пенсий, пособий и иных социальных выплат поступают в распоряжение родителей и расходуются ими на содержание, воспитание и образование несовершеннолетнего. При этом, в зависимости от того, сколько лет несовершеннолетнему, он может быть полностью недееспособен (малолетний ребенок до 6 лет),  не вправе распоряжаться своим имуществом, или частично дееспособен (от 6 до 14 лет и от 14 до 18 лет) и вправе распоряжаться своими доходами и имуществом с ограничениями, которые закреплены в ГК РФ.</w:t>
      </w:r>
    </w:p>
    <w:p w14:paraId="3D2EEDA2"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При этом СК РФ устанавливает, что в процессе осуществления родителями правомочий по управлению имуществом несовершеннолетнего ребенка, родители должны опираться на правила указанные в статье 37 ГК РФ, а значит и на ФЗ № 48-ФЗ «Об опеке и попечительстве», так как уже было отмечено ранее, данная норма не только содержит в себе положения указанного федерального закона, но и так же носит отсылочный характер на этот же закон.</w:t>
      </w:r>
    </w:p>
    <w:p w14:paraId="4C5F2D1A"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Таким образом, в случае совершения сделки от имени несовершеннолетнего ребенка по отчуждению имущества родители обязаны обратиться в органы опеки и попечительства с заявлением о выдаче предварительного разрешения на совершение таких действий.</w:t>
      </w:r>
    </w:p>
    <w:p w14:paraId="7A5222B2"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Семейный кодекс РФ устанавливает важное правило, которое заключается в том, что родители не имеют права собственности на имущество несовершеннолетнего ребенка, и могут владеть и пользоваться таким имуществом по согласию несовершеннолетнего.</w:t>
      </w:r>
    </w:p>
    <w:p w14:paraId="3C0A0837"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Помимо рассмотренных нормативных правовых актов, защиту имущественных прав несовершеннолетних также регулируют два других документа: </w:t>
      </w:r>
    </w:p>
    <w:p w14:paraId="67EA0211"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Письмо Министерства образования Российской Федерации «О защите жилищных прав несовершеннолетних» от 02 февраля 1995 года № 09-М</w:t>
      </w:r>
      <w:r>
        <w:rPr>
          <w:rStyle w:val="a7"/>
          <w:rFonts w:ascii="Times New Roman" w:hAnsi="Times New Roman" w:cs="Times New Roman"/>
          <w:sz w:val="24"/>
          <w:szCs w:val="24"/>
        </w:rPr>
        <w:footnoteReference w:id="123"/>
      </w:r>
      <w:r>
        <w:rPr>
          <w:rFonts w:ascii="Times New Roman" w:hAnsi="Times New Roman" w:cs="Times New Roman"/>
          <w:sz w:val="24"/>
          <w:szCs w:val="24"/>
        </w:rPr>
        <w:t>;</w:t>
      </w:r>
    </w:p>
    <w:p w14:paraId="175E2915"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Письмо Министерства общего и профессионального образования Российской Федерации «О дополнительных мерах защиты жилищных прав несовершеннолетних» от 09 июня 1999 года № 244/26-5</w:t>
      </w:r>
      <w:r>
        <w:rPr>
          <w:rStyle w:val="a7"/>
          <w:rFonts w:ascii="Times New Roman" w:hAnsi="Times New Roman" w:cs="Times New Roman"/>
          <w:sz w:val="24"/>
          <w:szCs w:val="24"/>
        </w:rPr>
        <w:footnoteReference w:id="124"/>
      </w:r>
      <w:r>
        <w:rPr>
          <w:rFonts w:ascii="Times New Roman" w:hAnsi="Times New Roman" w:cs="Times New Roman"/>
          <w:sz w:val="24"/>
          <w:szCs w:val="24"/>
        </w:rPr>
        <w:t>.</w:t>
      </w:r>
    </w:p>
    <w:p w14:paraId="125ADB7B"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Указанные документы носят рекомендательный характер и содержат в себе немаловажные уточнения касательно защиты имущественных прав несовершеннолетних. Так, согласно рассматриваемым документам, не рекомендуется осуществлять продажу жилых помещений, принадлежащих несовершеннолетним. В случае если, отчуждение необходимо, оба письма № 09-М и № 244/26-5 указывают перечень документов, которые родители, опекуны или попечители должны предоставить органу опеки и попечительству вместе заявлением о выдаче предварительно разращения на отчуждение такого имущества. В таком предварительном разрешении должно содержаться положение, согласно которому, орган опеки и попечительства разрешает продать жилое помещение, с условием обязательного приобретения жилой площади на имя несовершеннолетнего или с указанием, где он будет проживать в случае, если является членом семьи собственника. </w:t>
      </w:r>
    </w:p>
    <w:p w14:paraId="42A2B0C9"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Таким образом, можно сделать вывод, что органы опеки и попечительства являются важнейшим органом, осуществляющим не только контроль за сохранением имущественных прав и самого имущества несовершеннолетних, но при необходимости защиту, в случаях нарушения закона в части жилищных и иных имущественных прав несовершеннолетних.</w:t>
      </w:r>
    </w:p>
    <w:p w14:paraId="7664E436" w14:textId="77777777" w:rsidR="001B6C3B" w:rsidRDefault="001B6C3B" w:rsidP="001B6C3B">
      <w:pPr>
        <w:spacing w:after="0" w:line="240" w:lineRule="auto"/>
        <w:ind w:firstLine="709"/>
        <w:jc w:val="both"/>
        <w:rPr>
          <w:rFonts w:ascii="Times New Roman" w:hAnsi="Times New Roman" w:cs="Times New Roman"/>
          <w:sz w:val="24"/>
          <w:szCs w:val="24"/>
        </w:rPr>
      </w:pPr>
    </w:p>
    <w:p w14:paraId="1793D99D" w14:textId="77777777" w:rsidR="001B6C3B" w:rsidRDefault="001B6C3B" w:rsidP="001B6C3B">
      <w:pPr>
        <w:spacing w:after="0" w:line="240" w:lineRule="auto"/>
        <w:ind w:firstLine="709"/>
        <w:jc w:val="both"/>
        <w:rPr>
          <w:rFonts w:ascii="Times New Roman" w:hAnsi="Times New Roman" w:cs="Times New Roman"/>
          <w:sz w:val="24"/>
          <w:szCs w:val="24"/>
        </w:rPr>
      </w:pPr>
    </w:p>
    <w:p w14:paraId="1E102864" w14:textId="77777777" w:rsidR="001B6C3B" w:rsidRDefault="001B6C3B" w:rsidP="001B6C3B">
      <w:pPr>
        <w:spacing w:after="0" w:line="240" w:lineRule="auto"/>
        <w:ind w:firstLine="709"/>
        <w:jc w:val="both"/>
        <w:rPr>
          <w:rFonts w:ascii="Times New Roman" w:hAnsi="Times New Roman" w:cs="Times New Roman"/>
          <w:b/>
          <w:bCs/>
          <w:sz w:val="24"/>
          <w:szCs w:val="24"/>
        </w:rPr>
      </w:pPr>
      <w:r>
        <w:rPr>
          <w:rFonts w:ascii="Times New Roman" w:hAnsi="Times New Roman" w:cs="Times New Roman"/>
          <w:b/>
          <w:bCs/>
          <w:sz w:val="24"/>
          <w:szCs w:val="24"/>
        </w:rPr>
        <w:t>Библиографический список</w:t>
      </w:r>
    </w:p>
    <w:p w14:paraId="6CEA3B53" w14:textId="77777777" w:rsidR="001B6C3B" w:rsidRDefault="001B6C3B" w:rsidP="001B6C3B">
      <w:pPr>
        <w:spacing w:after="0" w:line="240" w:lineRule="auto"/>
        <w:ind w:firstLine="709"/>
        <w:jc w:val="both"/>
        <w:rPr>
          <w:rFonts w:ascii="Times New Roman" w:hAnsi="Times New Roman" w:cs="Times New Roman"/>
          <w:b/>
          <w:bCs/>
          <w:sz w:val="24"/>
          <w:szCs w:val="24"/>
        </w:rPr>
      </w:pPr>
    </w:p>
    <w:p w14:paraId="70F2C56D" w14:textId="77777777" w:rsidR="001B6C3B" w:rsidRDefault="001B6C3B" w:rsidP="00E3198A">
      <w:pPr>
        <w:pStyle w:val="a5"/>
        <w:numPr>
          <w:ilvl w:val="0"/>
          <w:numId w:val="14"/>
        </w:numPr>
        <w:tabs>
          <w:tab w:val="left" w:pos="1134"/>
        </w:tabs>
        <w:ind w:left="0" w:firstLine="709"/>
        <w:jc w:val="both"/>
        <w:rPr>
          <w:rFonts w:ascii="Times New Roman" w:hAnsi="Times New Roman" w:cs="Times New Roman"/>
          <w:sz w:val="24"/>
          <w:szCs w:val="24"/>
        </w:rPr>
      </w:pPr>
      <w:r>
        <w:rPr>
          <w:rFonts w:ascii="Times New Roman" w:hAnsi="Times New Roman" w:cs="Times New Roman"/>
          <w:sz w:val="24"/>
          <w:szCs w:val="24"/>
        </w:rPr>
        <w:t>О защите жилищных прав несовершеннолетних: Письмо Министерства образования Российской Федерации от 02 февраля 1995 года № 09-М // Вестник образования. 1995. № 8.</w:t>
      </w:r>
    </w:p>
    <w:p w14:paraId="2C8CE48E" w14:textId="77777777" w:rsidR="001B6C3B" w:rsidRDefault="001B6C3B" w:rsidP="00E3198A">
      <w:pPr>
        <w:pStyle w:val="a5"/>
        <w:numPr>
          <w:ilvl w:val="0"/>
          <w:numId w:val="14"/>
        </w:numPr>
        <w:tabs>
          <w:tab w:val="left" w:pos="1134"/>
        </w:tabs>
        <w:ind w:left="0" w:firstLine="709"/>
        <w:jc w:val="both"/>
        <w:rPr>
          <w:rFonts w:ascii="Times New Roman" w:hAnsi="Times New Roman" w:cs="Times New Roman"/>
          <w:sz w:val="24"/>
          <w:szCs w:val="24"/>
        </w:rPr>
      </w:pPr>
      <w:r>
        <w:rPr>
          <w:rFonts w:ascii="Times New Roman" w:hAnsi="Times New Roman" w:cs="Times New Roman"/>
          <w:sz w:val="24"/>
          <w:szCs w:val="24"/>
        </w:rPr>
        <w:t>О дополнительных мерах защиты жилищных прав несовершеннолетних: Письмо Министерства общего и профессионального образования Российской Федерации от 09 июня 1999 года № 244/26-5 // Вестник образования. 1999. № 8.</w:t>
      </w:r>
    </w:p>
    <w:p w14:paraId="3428DC1A" w14:textId="77777777" w:rsidR="001B6C3B" w:rsidRDefault="001B6C3B" w:rsidP="00E3198A">
      <w:pPr>
        <w:pStyle w:val="a5"/>
        <w:numPr>
          <w:ilvl w:val="0"/>
          <w:numId w:val="14"/>
        </w:numPr>
        <w:tabs>
          <w:tab w:val="left" w:pos="1134"/>
        </w:tabs>
        <w:ind w:left="0" w:firstLine="709"/>
        <w:jc w:val="both"/>
        <w:rPr>
          <w:rFonts w:ascii="Times New Roman" w:hAnsi="Times New Roman" w:cs="Times New Roman"/>
          <w:sz w:val="24"/>
          <w:szCs w:val="24"/>
        </w:rPr>
      </w:pPr>
      <w:r>
        <w:rPr>
          <w:rFonts w:ascii="Times New Roman" w:hAnsi="Times New Roman" w:cs="Times New Roman"/>
          <w:sz w:val="24"/>
          <w:szCs w:val="24"/>
        </w:rPr>
        <w:t>Гринь Е.А., Хрипков И.И. Участие прокурора в защите прав несовершеннолетних в гражданском судопроизводстве // Право и государство: теория и практика. – 2019. – № 9. – С. 130-133.</w:t>
      </w:r>
    </w:p>
    <w:p w14:paraId="1E9093FC" w14:textId="77777777" w:rsidR="001B6C3B" w:rsidRDefault="001B6C3B" w:rsidP="001B6C3B">
      <w:pPr>
        <w:spacing w:after="0" w:line="240" w:lineRule="auto"/>
        <w:rPr>
          <w:rFonts w:ascii="Times New Roman" w:hAnsi="Times New Roman" w:cs="Times New Roman"/>
          <w:sz w:val="24"/>
          <w:szCs w:val="24"/>
        </w:rPr>
        <w:sectPr w:rsidR="001B6C3B">
          <w:footnotePr>
            <w:numRestart w:val="eachPage"/>
          </w:footnotePr>
          <w:pgSz w:w="11906" w:h="16838"/>
          <w:pgMar w:top="1134" w:right="1134" w:bottom="1134" w:left="1134" w:header="709" w:footer="709" w:gutter="0"/>
          <w:cols w:space="720"/>
        </w:sectPr>
      </w:pPr>
    </w:p>
    <w:p w14:paraId="2B89E96A" w14:textId="77777777" w:rsidR="001B6C3B" w:rsidRDefault="001B6C3B" w:rsidP="001B6C3B">
      <w:pPr>
        <w:rPr>
          <w:rFonts w:ascii="Times New Roman" w:hAnsi="Times New Roman" w:cs="Times New Roman"/>
        </w:rPr>
      </w:pPr>
    </w:p>
    <w:p w14:paraId="64CC4A31" w14:textId="77777777" w:rsidR="001B6C3B" w:rsidRDefault="001B6C3B" w:rsidP="001B6C3B">
      <w:pPr>
        <w:spacing w:after="0" w:line="240" w:lineRule="auto"/>
        <w:ind w:left="5245"/>
        <w:jc w:val="both"/>
        <w:rPr>
          <w:rFonts w:ascii="Times New Roman" w:hAnsi="Times New Roman" w:cs="Times New Roman"/>
          <w:b/>
          <w:i/>
          <w:sz w:val="24"/>
          <w:szCs w:val="24"/>
        </w:rPr>
      </w:pPr>
      <w:r>
        <w:rPr>
          <w:rFonts w:ascii="Times New Roman" w:hAnsi="Times New Roman" w:cs="Times New Roman"/>
          <w:b/>
          <w:i/>
          <w:sz w:val="24"/>
          <w:szCs w:val="24"/>
        </w:rPr>
        <w:t>УДК 347.121.2</w:t>
      </w:r>
    </w:p>
    <w:p w14:paraId="0C472CF8" w14:textId="77777777" w:rsidR="001B6C3B" w:rsidRDefault="001B6C3B" w:rsidP="001B6C3B">
      <w:pPr>
        <w:spacing w:after="0" w:line="240" w:lineRule="auto"/>
        <w:ind w:left="5245"/>
        <w:jc w:val="both"/>
        <w:rPr>
          <w:rFonts w:ascii="Times New Roman" w:hAnsi="Times New Roman" w:cs="Times New Roman"/>
          <w:b/>
          <w:i/>
          <w:sz w:val="24"/>
          <w:szCs w:val="24"/>
        </w:rPr>
      </w:pPr>
      <w:r>
        <w:rPr>
          <w:rFonts w:ascii="Times New Roman" w:hAnsi="Times New Roman" w:cs="Times New Roman"/>
          <w:b/>
          <w:i/>
          <w:sz w:val="24"/>
          <w:szCs w:val="24"/>
        </w:rPr>
        <w:t>Гамидов Владислав Романович</w:t>
      </w:r>
    </w:p>
    <w:p w14:paraId="2194E08A" w14:textId="77777777" w:rsidR="001B6C3B" w:rsidRDefault="001B6C3B" w:rsidP="001B6C3B">
      <w:pPr>
        <w:spacing w:after="0" w:line="240" w:lineRule="auto"/>
        <w:ind w:left="5245"/>
        <w:jc w:val="both"/>
        <w:rPr>
          <w:rFonts w:ascii="Times New Roman" w:hAnsi="Times New Roman" w:cs="Times New Roman"/>
          <w:b/>
          <w:i/>
          <w:sz w:val="24"/>
          <w:szCs w:val="24"/>
        </w:rPr>
      </w:pPr>
      <w:r>
        <w:rPr>
          <w:rFonts w:ascii="Times New Roman" w:hAnsi="Times New Roman" w:cs="Times New Roman"/>
          <w:b/>
          <w:i/>
          <w:sz w:val="24"/>
          <w:szCs w:val="24"/>
          <w:lang w:val="en-US"/>
        </w:rPr>
        <w:t>Gamidov</w:t>
      </w:r>
      <w:r w:rsidRPr="00430C1C">
        <w:rPr>
          <w:rFonts w:ascii="Times New Roman" w:hAnsi="Times New Roman" w:cs="Times New Roman"/>
          <w:b/>
          <w:i/>
          <w:sz w:val="24"/>
          <w:szCs w:val="24"/>
        </w:rPr>
        <w:t xml:space="preserve"> </w:t>
      </w:r>
      <w:r>
        <w:rPr>
          <w:rFonts w:ascii="Times New Roman" w:hAnsi="Times New Roman" w:cs="Times New Roman"/>
          <w:b/>
          <w:i/>
          <w:sz w:val="24"/>
          <w:szCs w:val="24"/>
          <w:lang w:val="en-US"/>
        </w:rPr>
        <w:t>Vladislav</w:t>
      </w:r>
      <w:r w:rsidRPr="00430C1C">
        <w:rPr>
          <w:rFonts w:ascii="Times New Roman" w:hAnsi="Times New Roman" w:cs="Times New Roman"/>
          <w:b/>
          <w:i/>
          <w:sz w:val="24"/>
          <w:szCs w:val="24"/>
        </w:rPr>
        <w:t xml:space="preserve"> </w:t>
      </w:r>
      <w:r>
        <w:rPr>
          <w:rFonts w:ascii="Times New Roman" w:hAnsi="Times New Roman" w:cs="Times New Roman"/>
          <w:b/>
          <w:i/>
          <w:sz w:val="24"/>
          <w:szCs w:val="24"/>
          <w:lang w:val="en-US"/>
        </w:rPr>
        <w:t>Romanovich</w:t>
      </w:r>
    </w:p>
    <w:p w14:paraId="6776DBAE" w14:textId="77777777" w:rsidR="001B6C3B" w:rsidRDefault="001B6C3B" w:rsidP="001B6C3B">
      <w:pPr>
        <w:spacing w:after="0" w:line="240" w:lineRule="auto"/>
        <w:ind w:left="5245"/>
        <w:jc w:val="both"/>
        <w:rPr>
          <w:rFonts w:ascii="Times New Roman" w:hAnsi="Times New Roman" w:cs="Times New Roman"/>
          <w:sz w:val="24"/>
          <w:szCs w:val="24"/>
        </w:rPr>
      </w:pPr>
      <w:r>
        <w:rPr>
          <w:rFonts w:ascii="Times New Roman" w:hAnsi="Times New Roman" w:cs="Times New Roman"/>
          <w:sz w:val="24"/>
          <w:szCs w:val="24"/>
        </w:rPr>
        <w:t>бакалавр Федеральное государственное бюджетное образовательное учреждение высшего образования «Кубанский государственный аграрный университет имени И.Т. Трубилина»</w:t>
      </w:r>
    </w:p>
    <w:p w14:paraId="55D6A256" w14:textId="77777777" w:rsidR="001B6C3B" w:rsidRDefault="001B6C3B" w:rsidP="001B6C3B">
      <w:pPr>
        <w:pStyle w:val="ConsPlusNormal"/>
        <w:ind w:left="5245"/>
        <w:jc w:val="both"/>
        <w:rPr>
          <w:lang w:eastAsia="en-US"/>
        </w:rPr>
      </w:pPr>
      <w:r>
        <w:rPr>
          <w:lang w:eastAsia="en-US"/>
        </w:rPr>
        <w:t>Federal State Budgetary Educational Institution of Higher Education</w:t>
      </w:r>
    </w:p>
    <w:p w14:paraId="261EAE50" w14:textId="77777777" w:rsidR="001B6C3B" w:rsidRDefault="001B6C3B" w:rsidP="001B6C3B">
      <w:pPr>
        <w:pStyle w:val="ConsPlusNormal"/>
        <w:ind w:left="5245"/>
        <w:jc w:val="both"/>
        <w:rPr>
          <w:lang w:eastAsia="en-US"/>
        </w:rPr>
      </w:pPr>
      <w:r>
        <w:rPr>
          <w:lang w:eastAsia="en-US"/>
        </w:rPr>
        <w:t>«Kuban State Agrarian University named after I.T. Trubilin»</w:t>
      </w:r>
    </w:p>
    <w:p w14:paraId="0211EA37" w14:textId="77777777" w:rsidR="001B6C3B" w:rsidRDefault="001B6C3B" w:rsidP="001B6C3B">
      <w:pPr>
        <w:pStyle w:val="ConsPlusNormal"/>
        <w:ind w:left="5245"/>
        <w:jc w:val="both"/>
        <w:rPr>
          <w:lang w:val="ru-RU" w:eastAsia="en-US"/>
        </w:rPr>
      </w:pPr>
      <w:r>
        <w:rPr>
          <w:lang w:val="ru-RU" w:eastAsia="en-US"/>
        </w:rPr>
        <w:t>Российская Федерация, г. Краснодар</w:t>
      </w:r>
    </w:p>
    <w:p w14:paraId="0452E779" w14:textId="77777777" w:rsidR="001B6C3B" w:rsidRDefault="001B6C3B" w:rsidP="001B6C3B">
      <w:pPr>
        <w:pStyle w:val="ConsPlusNormal"/>
        <w:ind w:left="5245"/>
        <w:jc w:val="both"/>
        <w:rPr>
          <w:lang w:val="ru-RU" w:eastAsia="en-US"/>
        </w:rPr>
      </w:pPr>
      <w:r>
        <w:rPr>
          <w:lang w:eastAsia="en-US"/>
        </w:rPr>
        <w:t>Russian</w:t>
      </w:r>
      <w:r>
        <w:rPr>
          <w:lang w:val="ru-RU" w:eastAsia="en-US"/>
        </w:rPr>
        <w:t xml:space="preserve"> </w:t>
      </w:r>
      <w:r>
        <w:rPr>
          <w:lang w:eastAsia="en-US"/>
        </w:rPr>
        <w:t>Federation</w:t>
      </w:r>
      <w:r>
        <w:rPr>
          <w:lang w:val="ru-RU" w:eastAsia="en-US"/>
        </w:rPr>
        <w:t xml:space="preserve">, </w:t>
      </w:r>
      <w:r>
        <w:rPr>
          <w:lang w:eastAsia="en-US"/>
        </w:rPr>
        <w:t>Krasnodar</w:t>
      </w:r>
    </w:p>
    <w:p w14:paraId="7B86B5DE" w14:textId="77777777" w:rsidR="001B6C3B" w:rsidRDefault="001B6C3B" w:rsidP="001B6C3B">
      <w:pPr>
        <w:pStyle w:val="ConsPlusNormal"/>
        <w:ind w:left="5245"/>
        <w:jc w:val="both"/>
        <w:rPr>
          <w:lang w:val="ru-RU" w:eastAsia="en-US"/>
        </w:rPr>
      </w:pPr>
      <w:r>
        <w:rPr>
          <w:lang w:eastAsia="en-US"/>
        </w:rPr>
        <w:t>nat</w:t>
      </w:r>
      <w:r>
        <w:rPr>
          <w:lang w:val="ru-RU" w:eastAsia="en-US"/>
        </w:rPr>
        <w:t>-</w:t>
      </w:r>
      <w:r>
        <w:rPr>
          <w:lang w:eastAsia="en-US"/>
        </w:rPr>
        <w:t>vladislav</w:t>
      </w:r>
      <w:r>
        <w:rPr>
          <w:lang w:val="ru-RU" w:eastAsia="en-US"/>
        </w:rPr>
        <w:t>.</w:t>
      </w:r>
      <w:r>
        <w:rPr>
          <w:lang w:eastAsia="en-US"/>
        </w:rPr>
        <w:t>work</w:t>
      </w:r>
      <w:r>
        <w:rPr>
          <w:lang w:val="ru-RU" w:eastAsia="en-US"/>
        </w:rPr>
        <w:t>@</w:t>
      </w:r>
      <w:r>
        <w:rPr>
          <w:lang w:eastAsia="en-US"/>
        </w:rPr>
        <w:t>mail</w:t>
      </w:r>
      <w:r>
        <w:rPr>
          <w:lang w:val="ru-RU" w:eastAsia="en-US"/>
        </w:rPr>
        <w:t>.</w:t>
      </w:r>
      <w:r>
        <w:rPr>
          <w:lang w:eastAsia="en-US"/>
        </w:rPr>
        <w:t>ru</w:t>
      </w:r>
    </w:p>
    <w:p w14:paraId="79FBFD39" w14:textId="77777777" w:rsidR="001B6C3B" w:rsidRDefault="001B6C3B" w:rsidP="001B6C3B">
      <w:pPr>
        <w:spacing w:after="0" w:line="240" w:lineRule="auto"/>
        <w:ind w:firstLine="709"/>
        <w:jc w:val="center"/>
        <w:rPr>
          <w:rFonts w:ascii="Times New Roman" w:hAnsi="Times New Roman" w:cs="Times New Roman"/>
          <w:b/>
          <w:sz w:val="24"/>
          <w:szCs w:val="24"/>
        </w:rPr>
      </w:pPr>
    </w:p>
    <w:p w14:paraId="532E60E0" w14:textId="77777777" w:rsidR="001B6C3B" w:rsidRDefault="001B6C3B" w:rsidP="001B6C3B">
      <w:pPr>
        <w:spacing w:after="0" w:line="240" w:lineRule="auto"/>
        <w:ind w:firstLine="709"/>
        <w:jc w:val="center"/>
        <w:rPr>
          <w:rFonts w:ascii="Times New Roman" w:hAnsi="Times New Roman" w:cs="Times New Roman"/>
          <w:b/>
          <w:sz w:val="24"/>
          <w:szCs w:val="24"/>
        </w:rPr>
      </w:pPr>
      <w:r>
        <w:rPr>
          <w:rFonts w:ascii="Times New Roman" w:hAnsi="Times New Roman" w:cs="Times New Roman"/>
          <w:b/>
          <w:sz w:val="24"/>
          <w:szCs w:val="24"/>
        </w:rPr>
        <w:t>ПРОБЛЕМА УСТАНОВЛЕНИЯ ФАКТА ГРУБОЙ НЕОСТОРОЖНОСТИ ПОТЕРПЕВШЕГО КАК ОБСТОЯТЕЛЬСТВА, ВЛИЯЮЩЕГО НА ПОЛНОЕ ИЛИ ЧАСТИЧНОЕ ОСВОБОЖДЕНИЕ ВЛАДЕЛЬЦА ИСТОЧНИКА ПОВЫШЕННОЙ ОПАСНОСТИ ОТ ВОЗМЕЩЕНИЯ ВРЕДА</w:t>
      </w:r>
    </w:p>
    <w:p w14:paraId="3547643E" w14:textId="77777777" w:rsidR="001B6C3B" w:rsidRDefault="001B6C3B" w:rsidP="001B6C3B">
      <w:pPr>
        <w:spacing w:after="0" w:line="240" w:lineRule="auto"/>
        <w:ind w:firstLine="709"/>
        <w:jc w:val="center"/>
        <w:rPr>
          <w:rFonts w:ascii="Times New Roman" w:hAnsi="Times New Roman" w:cs="Times New Roman"/>
          <w:b/>
          <w:sz w:val="24"/>
          <w:szCs w:val="24"/>
        </w:rPr>
      </w:pPr>
    </w:p>
    <w:p w14:paraId="0EDD6376" w14:textId="77777777" w:rsidR="001B6C3B" w:rsidRDefault="001B6C3B" w:rsidP="001B6C3B">
      <w:pPr>
        <w:tabs>
          <w:tab w:val="left" w:pos="8505"/>
        </w:tabs>
        <w:spacing w:after="0" w:line="240" w:lineRule="auto"/>
        <w:ind w:firstLine="709"/>
        <w:jc w:val="center"/>
        <w:rPr>
          <w:rFonts w:ascii="Times New Roman" w:hAnsi="Times New Roman" w:cs="Times New Roman"/>
          <w:b/>
          <w:sz w:val="24"/>
          <w:szCs w:val="24"/>
          <w:lang w:val="en-US"/>
        </w:rPr>
      </w:pPr>
      <w:r>
        <w:rPr>
          <w:rFonts w:ascii="Times New Roman" w:hAnsi="Times New Roman" w:cs="Times New Roman"/>
          <w:b/>
          <w:sz w:val="24"/>
          <w:szCs w:val="24"/>
          <w:lang w:val="en-US"/>
        </w:rPr>
        <w:t>THE PROBLEM OF ESTABLISHING THE FACT OF GROSS NEGLIGENCE OF THE VICTIM AS A CIRCUMSTANCE AFFECTING THE FULL OR PARTIAL RELEASE OF THE OWNER OF A SOURCE OF INCREASED DANGER FROM INDEMNIFICATION</w:t>
      </w:r>
    </w:p>
    <w:p w14:paraId="5E3D5D8A" w14:textId="77777777" w:rsidR="001B6C3B" w:rsidRDefault="001B6C3B" w:rsidP="001B6C3B">
      <w:pPr>
        <w:tabs>
          <w:tab w:val="left" w:pos="8505"/>
        </w:tabs>
        <w:spacing w:after="0" w:line="240" w:lineRule="auto"/>
        <w:ind w:firstLine="709"/>
        <w:jc w:val="both"/>
        <w:rPr>
          <w:rFonts w:ascii="Times New Roman" w:hAnsi="Times New Roman" w:cs="Times New Roman"/>
          <w:b/>
          <w:sz w:val="24"/>
          <w:szCs w:val="24"/>
          <w:lang w:val="en-US"/>
        </w:rPr>
      </w:pPr>
    </w:p>
    <w:p w14:paraId="733A4F65" w14:textId="77777777" w:rsidR="001B6C3B" w:rsidRDefault="001B6C3B" w:rsidP="001B6C3B">
      <w:pPr>
        <w:tabs>
          <w:tab w:val="left" w:pos="8505"/>
        </w:tabs>
        <w:spacing w:after="0" w:line="240" w:lineRule="auto"/>
        <w:ind w:firstLine="709"/>
        <w:jc w:val="both"/>
        <w:rPr>
          <w:rFonts w:ascii="Times New Roman" w:hAnsi="Times New Roman" w:cs="Times New Roman"/>
          <w:i/>
          <w:sz w:val="24"/>
          <w:szCs w:val="24"/>
        </w:rPr>
      </w:pPr>
      <w:r>
        <w:rPr>
          <w:rFonts w:ascii="Times New Roman" w:hAnsi="Times New Roman" w:cs="Times New Roman"/>
          <w:sz w:val="24"/>
          <w:szCs w:val="24"/>
        </w:rPr>
        <w:t>Аннотация:</w:t>
      </w:r>
      <w:r>
        <w:rPr>
          <w:rFonts w:ascii="Times New Roman" w:hAnsi="Times New Roman" w:cs="Times New Roman"/>
          <w:b/>
          <w:sz w:val="24"/>
          <w:szCs w:val="24"/>
        </w:rPr>
        <w:t xml:space="preserve"> </w:t>
      </w:r>
      <w:r>
        <w:rPr>
          <w:rFonts w:ascii="Times New Roman" w:hAnsi="Times New Roman" w:cs="Times New Roman"/>
          <w:sz w:val="24"/>
          <w:szCs w:val="24"/>
        </w:rPr>
        <w:t xml:space="preserve">в данной статье рассматривается проблема грубой неосторожности потерпевшего в гражданско-правовых отношениях. Проведено комплексное исследование понятия грубая неосторожность. Цель статьи –  определить критерии грубой неосторожности потерпевшего, с помощью которых можно упростить доказывание данного обстоятельства. Научная новизна исследования заключается в выработке четких критериев, позволяющих объективно определить наличие или отсутствие в действиях потерпевшего грубой неосторожности. Автором предложены некоторые признаки, с помощью которых можно достоверно определить факт грубой неосторожности потерпевшего. </w:t>
      </w:r>
    </w:p>
    <w:p w14:paraId="1F04D4D9" w14:textId="77777777" w:rsidR="001B6C3B" w:rsidRDefault="001B6C3B" w:rsidP="001B6C3B">
      <w:pPr>
        <w:tabs>
          <w:tab w:val="left" w:pos="8505"/>
        </w:tabs>
        <w:spacing w:after="0" w:line="240" w:lineRule="auto"/>
        <w:ind w:firstLine="709"/>
        <w:jc w:val="both"/>
        <w:rPr>
          <w:rFonts w:ascii="Times New Roman" w:hAnsi="Times New Roman" w:cs="Times New Roman"/>
          <w:i/>
          <w:sz w:val="24"/>
          <w:szCs w:val="24"/>
        </w:rPr>
      </w:pPr>
      <w:r>
        <w:rPr>
          <w:rFonts w:ascii="Times New Roman" w:hAnsi="Times New Roman" w:cs="Times New Roman"/>
          <w:i/>
          <w:sz w:val="24"/>
          <w:szCs w:val="24"/>
        </w:rPr>
        <w:t>Ключевые слова</w:t>
      </w:r>
      <w:r>
        <w:rPr>
          <w:rFonts w:ascii="Times New Roman" w:hAnsi="Times New Roman" w:cs="Times New Roman"/>
          <w:b/>
          <w:i/>
          <w:sz w:val="24"/>
          <w:szCs w:val="24"/>
        </w:rPr>
        <w:t>:</w:t>
      </w:r>
      <w:r>
        <w:rPr>
          <w:rFonts w:ascii="Times New Roman" w:hAnsi="Times New Roman" w:cs="Times New Roman"/>
          <w:i/>
          <w:sz w:val="24"/>
          <w:szCs w:val="24"/>
        </w:rPr>
        <w:t xml:space="preserve"> грубая неосторожность; грубая неосторожность потерпевшего; критерии грубой неосторожности; определение грубой неосторожности потерпевшего; формы вины в гражданском праве; источники повышенной опасности.</w:t>
      </w:r>
    </w:p>
    <w:p w14:paraId="176645C0" w14:textId="77777777" w:rsidR="001B6C3B" w:rsidRDefault="001B6C3B" w:rsidP="001B6C3B">
      <w:pPr>
        <w:tabs>
          <w:tab w:val="left" w:pos="8505"/>
        </w:tabs>
        <w:spacing w:after="0" w:line="240" w:lineRule="auto"/>
        <w:ind w:firstLine="709"/>
        <w:jc w:val="both"/>
        <w:rPr>
          <w:rFonts w:ascii="Times New Roman" w:hAnsi="Times New Roman" w:cs="Times New Roman"/>
          <w:i/>
          <w:sz w:val="24"/>
          <w:szCs w:val="24"/>
          <w:lang w:val="en-US"/>
        </w:rPr>
      </w:pPr>
      <w:r>
        <w:rPr>
          <w:rFonts w:ascii="Times New Roman" w:hAnsi="Times New Roman" w:cs="Times New Roman"/>
          <w:i/>
          <w:sz w:val="24"/>
          <w:szCs w:val="24"/>
          <w:lang w:val="en-US"/>
        </w:rPr>
        <w:t xml:space="preserve">Annotation: </w:t>
      </w:r>
      <w:r>
        <w:rPr>
          <w:rFonts w:ascii="Times New Roman" w:hAnsi="Times New Roman" w:cs="Times New Roman"/>
          <w:sz w:val="24"/>
          <w:szCs w:val="24"/>
          <w:lang w:val="en-US"/>
        </w:rPr>
        <w:t>This article addresses the problem of gross negligence of the victim in civil law relations. The article conducted a comprehensive study of the concept of gross negligence. The purpose of the article is to determine the criteria for gross negligence of the victim, with the help of which it is possible to simplify the proof of this circumstance. The scientific novelty of the study is to develop clear criteria to objectively determine the presence or absence of gross negligence in the actions of the victim. The author has proposed some signs, which may reliably determine the fact of gross negligence of the victim.</w:t>
      </w:r>
    </w:p>
    <w:p w14:paraId="498EA413" w14:textId="77777777" w:rsidR="001B6C3B" w:rsidRDefault="001B6C3B" w:rsidP="001B6C3B">
      <w:pPr>
        <w:tabs>
          <w:tab w:val="left" w:pos="8505"/>
        </w:tabs>
        <w:spacing w:after="0" w:line="240" w:lineRule="auto"/>
        <w:ind w:firstLine="709"/>
        <w:jc w:val="both"/>
        <w:rPr>
          <w:rFonts w:ascii="Times New Roman" w:hAnsi="Times New Roman" w:cs="Times New Roman"/>
          <w:i/>
          <w:sz w:val="24"/>
          <w:szCs w:val="24"/>
          <w:lang w:val="en-US"/>
        </w:rPr>
      </w:pPr>
      <w:r>
        <w:rPr>
          <w:rFonts w:ascii="Times New Roman" w:hAnsi="Times New Roman" w:cs="Times New Roman"/>
          <w:i/>
          <w:sz w:val="24"/>
          <w:szCs w:val="24"/>
          <w:lang w:val="en-US"/>
        </w:rPr>
        <w:t xml:space="preserve">Keywords: </w:t>
      </w:r>
      <w:r>
        <w:rPr>
          <w:rFonts w:ascii="Times New Roman" w:hAnsi="Times New Roman" w:cs="Times New Roman"/>
          <w:sz w:val="24"/>
          <w:szCs w:val="24"/>
          <w:lang w:val="en-US"/>
        </w:rPr>
        <w:t>gross negligence; gross negligence of the victim; criteria of gross negligence of the victim; determination of gross negligence of the victim; forms of guilt in civil law; sources of increased danger</w:t>
      </w:r>
      <w:r>
        <w:rPr>
          <w:rFonts w:ascii="Times New Roman" w:hAnsi="Times New Roman" w:cs="Times New Roman"/>
          <w:i/>
          <w:sz w:val="24"/>
          <w:szCs w:val="24"/>
          <w:lang w:val="en-US"/>
        </w:rPr>
        <w:t>.</w:t>
      </w:r>
    </w:p>
    <w:p w14:paraId="00395821" w14:textId="77777777" w:rsidR="001B6C3B" w:rsidRDefault="001B6C3B" w:rsidP="001B6C3B">
      <w:pPr>
        <w:tabs>
          <w:tab w:val="left" w:pos="8505"/>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Вина потерпевшего в обязательствах из причинения вреда сравнительно мало изучена и проработана в современных научных исследованиях: в теории права в общем и в цивилистической науке в частности. Следует отметить, что возмещение вреда потерпевшему в деликтных обязательствах является средством защиты его имущественных, а в некоторых </w:t>
      </w:r>
      <w:r>
        <w:rPr>
          <w:rFonts w:ascii="Times New Roman" w:hAnsi="Times New Roman" w:cs="Times New Roman"/>
          <w:sz w:val="24"/>
          <w:szCs w:val="24"/>
        </w:rPr>
        <w:lastRenderedPageBreak/>
        <w:t>случаях и личных неимущественных, что опосредует его право на достойную жизнь. Реализация вышеуказанного возможна лишь в рамках правовой деятельности при помощи специальных нормативных правовых средств [1, с. 387]. Обычно исследователи в различные исторические периоды, изучая проблему вины участников деликтных обязательств, акцентировали внимание на вине причинителя вреда. В то же время вина потерпевшего в данных правоотношениях часто оставалась без должного внимания. Проблематику вины потерпевшего в обязательствах из причинения вреда изучали дореволюционные ученые-цивилисты, среди которых наиболее значительный вклад внесли Д. И. Мейер, А. А. Симолин, Г. Ф. Шершеневич, С. А. Беляцкин, а также иные исследователи. В советский период данную проблематику развивали Б. С. Антимонов, М. М. Агарков, О. С. Иоффе, О. А. Красавчиков, С. Н. Братусь. Среди современных ученых-цивилистов значительный вклад в развитие данной проблематики внесли В. В. Витрянский, Л. В. Фоноберов, А. Ю. Кирсанов, Т. И Лысенко и другие.</w:t>
      </w:r>
    </w:p>
    <w:p w14:paraId="32F69AB1" w14:textId="77777777" w:rsidR="001B6C3B" w:rsidRDefault="001B6C3B" w:rsidP="001B6C3B">
      <w:pPr>
        <w:tabs>
          <w:tab w:val="left" w:pos="8505"/>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По общему правилу, в соответствии с п. 2 ст. 1064 Гражданского Кодекса Российской Федерации (далее – ГК РФ) основанием для освобождения от возмещения вреда, причиненному личности или имуществу гражданина либо имуществу юридического лица, является отсутствие вины причинителя. При этом в случае, когда вред исходит от источника повышенной опасности, данное основание теряет силу. Здесь освободить причинителя вреда от ответственности может только 2 фактора: умысел потерпевшего и грубая неосторожность потерпевшего. В рамках данного исследования автор рассматривает проблематику определения и доказывания факта грубой неосторожности потерпевшего в отношениях, возникающих из причинения вреда источником повышенной опасности.</w:t>
      </w:r>
    </w:p>
    <w:p w14:paraId="399954B1" w14:textId="77777777" w:rsidR="001B6C3B" w:rsidRDefault="001B6C3B" w:rsidP="001B6C3B">
      <w:pPr>
        <w:tabs>
          <w:tab w:val="left" w:pos="93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Для правильного и всестороннего изучения проблемы сперва необходимо определить соотношение грубой неосторожности и вины в гражданском праве. По общему правилу, вина является обязательным условием наступления гражданско-правовой ответственности, за исключением случаев, определенных законом, в числе которых ответственность владельца источника повышенной опасности (п. 1 ст. 1079 ГК РФ). И хотя в отношениях, возникших из причинения вреда, вина владельца источника повышенной опасности не имеет значения, значимым становится наличие или отсутствие вины потерпевшего, проявившейся в форме умысла (п.1 ст. 1083 ГК РФ) или грубой неосторожности (п. 2 ст. 1083 ГК РФ). В современной цивилистике доминирует позиция, согласно которой неосторожность наряду с умыслом являются формами вины [2, с. 576, 3, с. 448]. В рамках настоящего исследования подробно рассмотрим такую форму вины как неосторожность. По мнению С. В. Киселева неосторожность подразделяется на простую неосторожность и грубую небрежность [4, с. 18]. Б. Д. Завидов выделяет легкую и грубую неосторожность [5, с. 137]. В своих исследованиях В. В. Витрянский выводит неосторожность и грубую неосторожность [6, с. 261]. Вышеуказанные ученые используют разные трактовки, однако значение остается единым. Мы соглашаемся с данной позицией и в дальнейшем в настоящем исследовании будем исходить из соответствующей позиции. </w:t>
      </w:r>
    </w:p>
    <w:p w14:paraId="4A52CABD" w14:textId="77777777" w:rsidR="001B6C3B" w:rsidRDefault="001B6C3B" w:rsidP="001B6C3B">
      <w:pPr>
        <w:tabs>
          <w:tab w:val="left" w:pos="93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Вопрос об определении степени неосторожности является весьма неопределенным. На данный момент в нормативных актах, регулирующих гражданские правоотношения отсутствует какая-либо конкретная формулировка понятия грубой неосторожности. В этой связи участникам деликтных обязательств приходится определять степень неосторожности потерпевшего, исходя из различных подходов, основываясь на принципах разумности и справедливости.</w:t>
      </w:r>
    </w:p>
    <w:p w14:paraId="65389697" w14:textId="77777777" w:rsidR="001B6C3B" w:rsidRDefault="001B6C3B" w:rsidP="001B6C3B">
      <w:pPr>
        <w:tabs>
          <w:tab w:val="left" w:pos="93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Попытку внести ясность в определение грубой неосторожности предпринял Верховный Суд Российской Федерации (далее – ВС РФ). Согласно позиции ВС РФ, «вопрос о том, является ли допущенная потерпевшим неосторожность грубой, в каждом случае должен решаться с учетом фактических обстоятельств дела (характера деятельности, обстановки </w:t>
      </w:r>
      <w:r>
        <w:rPr>
          <w:rFonts w:ascii="Times New Roman" w:hAnsi="Times New Roman" w:cs="Times New Roman"/>
          <w:sz w:val="24"/>
          <w:szCs w:val="24"/>
        </w:rPr>
        <w:lastRenderedPageBreak/>
        <w:t>причинения вреда, индивидуальных особенностей потерпевшего, его состояния и др.)»</w:t>
      </w:r>
      <w:r>
        <w:rPr>
          <w:rStyle w:val="a7"/>
          <w:rFonts w:ascii="Times New Roman" w:hAnsi="Times New Roman" w:cs="Times New Roman"/>
          <w:sz w:val="24"/>
          <w:szCs w:val="24"/>
        </w:rPr>
        <w:footnoteReference w:id="125"/>
      </w:r>
      <w:r>
        <w:rPr>
          <w:rFonts w:ascii="Times New Roman" w:hAnsi="Times New Roman" w:cs="Times New Roman"/>
          <w:sz w:val="24"/>
          <w:szCs w:val="24"/>
        </w:rPr>
        <w:t>. По мнению автора, данное положение никак не определяет грубую неосторожность потерпевшего от простой неосмотрительности и не дает никаких определенных критериев для ее определения. Иначе говоря, ВС РФ устанавливает некоторые условия определения грубой неосторожности потерпевшего, но при этом все еще не дает конкретных критериев ее определения.</w:t>
      </w:r>
    </w:p>
    <w:p w14:paraId="46F60834" w14:textId="77777777" w:rsidR="001B6C3B" w:rsidRDefault="001B6C3B" w:rsidP="001B6C3B">
      <w:pPr>
        <w:tabs>
          <w:tab w:val="left" w:pos="93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Проблема установления конкретных, частных критериев определения грубой неосторожности потерпевшего, которые отличали бы ее от обыкновенной неосторожности или простой неосмотрительности, состоит в том, что круг возможных ситуаций, в которых потерпевший может проявить эту самую грубую неосторожность, не ограничен. Здесь, по нашему мнению, следует подчеркнуть, что количество таких возможных обстоятельств не просто очень велико, а именно бесконечно, поскольку даже, если бы можно было предвидеть и разъяснить все возможные ситуации и условно описать их, то это не означало бы, что через некоторое время все они будут актуальны и применимы. Научно-технический прогресс не стоит на месте, появляются новые факторы и условия, которые было бы невозможно предвидеть заранее. Схожей позиции придерживается Конституционный Суд Российской Федерации (далее – КС РФ). В своем Определении от 21.02.2008 г. № 120-О-О КС РФ указывает, что «использование в абз. 2 п. 2 ст. 1083 ГК РФ такого оценочного понятия, как «грубая неосторожность», в качестве требования, которым должен руководствоваться суд при определении размера возмещения потерпевшему, не свидетельствует о неопределенности содержания данной нормы, поскольку разнообразие обстоятельств, допускающих возможность уменьшения размера возмещения или отказа в возмещении, делает невозможным установление их исчерпывающего перечня в законе, а использование федеральным законодателем в данном случае такой оценочной характеристики преследует цель эффективного применения нормы к неограниченному числу конкретных правовых ситуаций, что само по себе не может расцениваться как нарушение конституционных прав и свобод заявителя, перечисленных в жалобе»</w:t>
      </w:r>
      <w:r>
        <w:rPr>
          <w:rStyle w:val="a7"/>
          <w:rFonts w:ascii="Times New Roman" w:hAnsi="Times New Roman" w:cs="Times New Roman"/>
          <w:sz w:val="24"/>
          <w:szCs w:val="24"/>
        </w:rPr>
        <w:footnoteReference w:id="126"/>
      </w:r>
      <w:r>
        <w:rPr>
          <w:rFonts w:ascii="Times New Roman" w:hAnsi="Times New Roman" w:cs="Times New Roman"/>
          <w:sz w:val="24"/>
          <w:szCs w:val="24"/>
        </w:rPr>
        <w:t>.</w:t>
      </w:r>
    </w:p>
    <w:p w14:paraId="67A59B90" w14:textId="77777777" w:rsidR="001B6C3B" w:rsidRDefault="001B6C3B" w:rsidP="001B6C3B">
      <w:pPr>
        <w:tabs>
          <w:tab w:val="left" w:pos="93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В то же время, для определения грубой неосторожности потерпевшего участникам деликтных правоотношений приходится прибегать к различным своеобразным методам. При этом каждая сторона, стремясь достичь своих интересов, определяет явилась ли неосторожность потерпевшего грубой по-своему. Совокупность вышеуказанных факторов приводит к тому, что понятие и степень неосторожности на практике обычно становятся субъективными оценочными категориями.</w:t>
      </w:r>
    </w:p>
    <w:p w14:paraId="574DD9FF" w14:textId="77777777" w:rsidR="001B6C3B" w:rsidRDefault="001B6C3B" w:rsidP="001B6C3B">
      <w:pPr>
        <w:tabs>
          <w:tab w:val="left" w:pos="93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качестве примера можно привести порядок расследования несчастных случаев на производстве. В соответствии с ч. 1 ст. 229 Трудового Кодекса Российской Федерации</w:t>
      </w:r>
      <w:r>
        <w:rPr>
          <w:rStyle w:val="a7"/>
          <w:rFonts w:ascii="Times New Roman" w:hAnsi="Times New Roman" w:cs="Times New Roman"/>
          <w:sz w:val="24"/>
          <w:szCs w:val="24"/>
        </w:rPr>
        <w:footnoteReference w:id="127"/>
      </w:r>
      <w:r>
        <w:rPr>
          <w:rFonts w:ascii="Times New Roman" w:hAnsi="Times New Roman" w:cs="Times New Roman"/>
          <w:sz w:val="24"/>
          <w:szCs w:val="24"/>
        </w:rPr>
        <w:t xml:space="preserve"> (далее – ТК РФ) для проведения расследования несчастного случая создается комиссия по расследованию несчастного случая. Согласно ч. 8 той же статьи при установлении грубой неосторожности пострадавшего работника комиссия по расследованию несчастного случая устанавливает степень его вины в процентах. От степени его вины зависит решение о возможном уменьшении выплаты компенсации. Заметим, что подсчет степени грубой неосторожности работника не регламентирован законом. Также необходимо обратить внимание, что ч. 8 ст. 229 ТК РФ не регламентирует порядок установления грубой неосторожности работника, а только указывает на необходимость определения степени уже проявленной грубой неосторожности. То есть вышеуказанное положение ТК РФ не дает </w:t>
      </w:r>
      <w:r>
        <w:rPr>
          <w:rFonts w:ascii="Times New Roman" w:hAnsi="Times New Roman" w:cs="Times New Roman"/>
          <w:sz w:val="24"/>
          <w:szCs w:val="24"/>
        </w:rPr>
        <w:lastRenderedPageBreak/>
        <w:t>ответа на вопрос была ли проявлена грубая неосторожность работником. Непосредственно наличие грубой неосторожности работника выявляет комиссия по расследованию несчастного случая, а, следовательно, ответ на вопрос имела ли место грубая неосторожность со стороны работника в той или иной ситуации остается, в значительной мере, оценочным суждением.</w:t>
      </w:r>
    </w:p>
    <w:p w14:paraId="60B1010C" w14:textId="77777777" w:rsidR="001B6C3B" w:rsidRDefault="001B6C3B" w:rsidP="001B6C3B">
      <w:pPr>
        <w:tabs>
          <w:tab w:val="left" w:pos="93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Таким образом, решение о признании факта грубой неосторожности в действиях потерпевшего в отношениях, вытекающих из причинения вреда источником повышенной опасности является субъективным. В спорах по данным правоотношениям суд рассматривает вопрос о наличии или отсутствии грубой неосторожности потерпевшего с тех же позиций. При определении степени вины потерпевшего в деликтных обязательствах с источником повышенной опасности суды обычно ссылаются на вышеуказанные Определение Конституционного Суда РФ «Об отказе в принятии к рассмотрению жалобы гражданина Яновича Максима Владимировича на нарушение его конституционных прав пунктом 1 статьи 1064, пунктом 1 статьи 1079 и абзацем вторым пункта 2 статьи 1083 Гражданского кодекса Российской Федерации» и Постановление Пленума Верховного Суда РФ «О применении судами гражданского законодательства, регулирующего отношения по обязательствам вследствие причинения вреда жизни или здоровью гражданина», при этом указывая, что, применяя общее правовое предписание к конкретным обстоятельствам дела, судья принимает решение в пределах предоставленной ему законом свободы усмотрения, что также не может рассматриваться как нарушение каких-либо конституционных прав и свобод гражданина</w:t>
      </w:r>
      <w:r>
        <w:rPr>
          <w:rStyle w:val="a7"/>
          <w:rFonts w:ascii="Times New Roman" w:hAnsi="Times New Roman" w:cs="Times New Roman"/>
          <w:sz w:val="24"/>
          <w:szCs w:val="24"/>
        </w:rPr>
        <w:footnoteReference w:id="128"/>
      </w:r>
      <w:r>
        <w:rPr>
          <w:rFonts w:ascii="Times New Roman" w:hAnsi="Times New Roman" w:cs="Times New Roman"/>
          <w:sz w:val="24"/>
          <w:szCs w:val="24"/>
        </w:rPr>
        <w:t>. Помимо прочего в судебной практике по делам об обязательствах, вытекающих из причинения вреда источником повышенной опасности, в числе фактических, обстоятельств суды учитывают и личность потерпевшего, а именно наличие полной дееспособности личности. В случаях неполной или ограниченной дееспособности у потерпевшего суды не применяют положения о грубой неосторожности потерпевшего, поскольку в силу объективных факторов (возраста, психологического расстройства личности и др.) потерпевший не мог предвидеть наступления вредоносных последствий своего поведения</w:t>
      </w:r>
      <w:r>
        <w:rPr>
          <w:rStyle w:val="a7"/>
          <w:rFonts w:ascii="Times New Roman" w:hAnsi="Times New Roman" w:cs="Times New Roman"/>
          <w:sz w:val="24"/>
          <w:szCs w:val="24"/>
        </w:rPr>
        <w:footnoteReference w:id="129"/>
      </w:r>
      <w:r>
        <w:rPr>
          <w:rFonts w:ascii="Times New Roman" w:hAnsi="Times New Roman" w:cs="Times New Roman"/>
          <w:sz w:val="24"/>
          <w:szCs w:val="24"/>
        </w:rPr>
        <w:t xml:space="preserve">. </w:t>
      </w:r>
    </w:p>
    <w:p w14:paraId="01821B68" w14:textId="77777777" w:rsidR="001B6C3B" w:rsidRDefault="001B6C3B" w:rsidP="001B6C3B">
      <w:pPr>
        <w:tabs>
          <w:tab w:val="left" w:pos="93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Обобщая вышеуказанное, мы приходим к выводу о целесообразности внесения в действующее законодательство наиболее общих, но при этом четких критериев грубой неосторожности потерпевшего, которые способствовали причинению ему вреда или явились причиной этого. По мнению автора, в качестве критериев грубой неосторожности, отличающего ее от простой неосторожности или неосмотрительности, следует принять: </w:t>
      </w:r>
    </w:p>
    <w:p w14:paraId="7762036D" w14:textId="77777777" w:rsidR="001B6C3B" w:rsidRDefault="001B6C3B" w:rsidP="00E3198A">
      <w:pPr>
        <w:pStyle w:val="a4"/>
        <w:numPr>
          <w:ilvl w:val="0"/>
          <w:numId w:val="15"/>
        </w:numPr>
        <w:tabs>
          <w:tab w:val="left" w:pos="142"/>
          <w:tab w:val="left" w:pos="9072"/>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несоблюдение потерпевшим необходимых, очевидных, известных широкому кругу лиц правил поведения, требуемых в данных конкретных обстоятельствах для недопущения неблагоприятных последствий своих действий, необходимых при той степени осмотрительности, которая требовалась от него в конкретных фактических обстоятельствах и условиях оборота;</w:t>
      </w:r>
    </w:p>
    <w:p w14:paraId="062A519B" w14:textId="77777777" w:rsidR="001B6C3B" w:rsidRDefault="001B6C3B" w:rsidP="00E3198A">
      <w:pPr>
        <w:pStyle w:val="a4"/>
        <w:numPr>
          <w:ilvl w:val="0"/>
          <w:numId w:val="15"/>
        </w:numPr>
        <w:tabs>
          <w:tab w:val="left" w:pos="142"/>
          <w:tab w:val="left" w:pos="9072"/>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несоблюдение потерпевшим доведенных до него правил поведения, при обыкновенных обстоятельствах, исключающих возможность наступления неблагоприятных последствий его действий, необходимых при той степени осмотрительности, которая требовалась от него в конкретных фактических обстоятельствах и условиях оборота;</w:t>
      </w:r>
    </w:p>
    <w:p w14:paraId="208960A2" w14:textId="77777777" w:rsidR="001B6C3B" w:rsidRDefault="001B6C3B" w:rsidP="00E3198A">
      <w:pPr>
        <w:pStyle w:val="a4"/>
        <w:numPr>
          <w:ilvl w:val="0"/>
          <w:numId w:val="15"/>
        </w:numPr>
        <w:tabs>
          <w:tab w:val="left" w:pos="142"/>
          <w:tab w:val="left" w:pos="9072"/>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непринятие минимальных, очевидно требуемых и известных широкому кругу лиц мер по недопущению неблагоприятных последствий своих действий, необходимых при той степени осмотрительности, которая требовалась от него в конкретных фактических обстоятельствах и условиях оборота.</w:t>
      </w:r>
    </w:p>
    <w:p w14:paraId="514CD89A" w14:textId="77777777" w:rsidR="001B6C3B" w:rsidRDefault="001B6C3B" w:rsidP="001B6C3B">
      <w:pPr>
        <w:tabs>
          <w:tab w:val="left" w:pos="9072"/>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При наличии в действиях потерпевшего хотя бы одного из приведенных критериев, в обязательствах, возникающих из причинения вреда источником повышенной опасности, следует считать, что он допустил грубую неосторожность.</w:t>
      </w:r>
    </w:p>
    <w:p w14:paraId="0C1E7D2A" w14:textId="77777777" w:rsidR="001B6C3B" w:rsidRDefault="001B6C3B" w:rsidP="001B6C3B">
      <w:pPr>
        <w:tabs>
          <w:tab w:val="left" w:pos="284"/>
          <w:tab w:val="left" w:pos="9072"/>
        </w:tabs>
        <w:spacing w:after="0" w:line="240" w:lineRule="auto"/>
        <w:ind w:firstLine="709"/>
        <w:jc w:val="both"/>
        <w:rPr>
          <w:rFonts w:ascii="Times New Roman" w:hAnsi="Times New Roman" w:cs="Times New Roman"/>
          <w:b/>
          <w:sz w:val="24"/>
          <w:szCs w:val="24"/>
        </w:rPr>
      </w:pPr>
      <w:r>
        <w:rPr>
          <w:rFonts w:ascii="Times New Roman" w:hAnsi="Times New Roman" w:cs="Times New Roman"/>
          <w:b/>
          <w:sz w:val="24"/>
          <w:szCs w:val="24"/>
        </w:rPr>
        <w:t>Список литературы</w:t>
      </w:r>
    </w:p>
    <w:p w14:paraId="08B47958" w14:textId="77777777" w:rsidR="001B6C3B" w:rsidRDefault="001B6C3B" w:rsidP="00E3198A">
      <w:pPr>
        <w:pStyle w:val="a4"/>
        <w:numPr>
          <w:ilvl w:val="0"/>
          <w:numId w:val="16"/>
        </w:numPr>
        <w:spacing w:after="0"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Кобылинская С. В. Право человека на достойную жизнь как основная ценность социального государства // Научное обеспечение агропромышленного комплекса. Сборник статей по материалам 71-й научно-практической конференции преподавателей по итогам НИР за 2015 год. Ответственный за выпуск А. Г. Кощаев. – 2016. – С. 386–388.</w:t>
      </w:r>
    </w:p>
    <w:p w14:paraId="0E9FEA95" w14:textId="77777777" w:rsidR="001B6C3B" w:rsidRDefault="001B6C3B" w:rsidP="00E3198A">
      <w:pPr>
        <w:pStyle w:val="a4"/>
        <w:numPr>
          <w:ilvl w:val="0"/>
          <w:numId w:val="16"/>
        </w:numPr>
        <w:spacing w:after="0"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Сергеев А. П. Гражданское право: учебник в 3 т. –М.: Проспект, 2008. – Т. 2. – 842 с.</w:t>
      </w:r>
    </w:p>
    <w:p w14:paraId="27F6FFCA" w14:textId="77777777" w:rsidR="001B6C3B" w:rsidRDefault="001B6C3B" w:rsidP="00E3198A">
      <w:pPr>
        <w:pStyle w:val="a4"/>
        <w:numPr>
          <w:ilvl w:val="0"/>
          <w:numId w:val="16"/>
        </w:numPr>
        <w:spacing w:after="0"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Калпина А. Г., Масляева А. И. Гражданское право: учебник в 3 т. – М.: Юрист, 2007. – Ч. 2. – 658 с.</w:t>
      </w:r>
    </w:p>
    <w:p w14:paraId="49BFC1EC" w14:textId="77777777" w:rsidR="001B6C3B" w:rsidRDefault="001B6C3B" w:rsidP="00E3198A">
      <w:pPr>
        <w:pStyle w:val="a4"/>
        <w:numPr>
          <w:ilvl w:val="0"/>
          <w:numId w:val="16"/>
        </w:numPr>
        <w:spacing w:after="0"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Киселев С. В. Формы и виды вины в гражданских правоотношениях // Российская юстиция. – 2008. – № 4. – С. 18–20.</w:t>
      </w:r>
    </w:p>
    <w:p w14:paraId="5C7F56E5" w14:textId="77777777" w:rsidR="001B6C3B" w:rsidRDefault="001B6C3B" w:rsidP="00E3198A">
      <w:pPr>
        <w:pStyle w:val="a4"/>
        <w:numPr>
          <w:ilvl w:val="0"/>
          <w:numId w:val="16"/>
        </w:numPr>
        <w:spacing w:after="0"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Завидов Б. Д. Договорное право России : науч. – практ. пособие. – М.: Городец, 2008. – 476 с.</w:t>
      </w:r>
    </w:p>
    <w:p w14:paraId="1C357911" w14:textId="77777777" w:rsidR="001B6C3B" w:rsidRDefault="001B6C3B" w:rsidP="00E3198A">
      <w:pPr>
        <w:pStyle w:val="a4"/>
        <w:numPr>
          <w:ilvl w:val="0"/>
          <w:numId w:val="16"/>
        </w:numPr>
        <w:spacing w:after="0"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Брагинский М. И., Витрянский В. В. Договорное право: Общие положения. – 3-е изд., стер. – М.: Статут, 2011. – 850 с.</w:t>
      </w:r>
    </w:p>
    <w:p w14:paraId="4A724DE7" w14:textId="77777777" w:rsidR="001B6C3B" w:rsidRDefault="001B6C3B" w:rsidP="001B6C3B">
      <w:pPr>
        <w:spacing w:after="0" w:line="240" w:lineRule="auto"/>
        <w:rPr>
          <w:rFonts w:ascii="Times New Roman" w:hAnsi="Times New Roman" w:cs="Times New Roman"/>
          <w:sz w:val="24"/>
          <w:szCs w:val="24"/>
        </w:rPr>
        <w:sectPr w:rsidR="001B6C3B">
          <w:footnotePr>
            <w:numRestart w:val="eachPage"/>
          </w:footnotePr>
          <w:pgSz w:w="11906" w:h="16838"/>
          <w:pgMar w:top="1134" w:right="1134" w:bottom="1134" w:left="1134" w:header="709" w:footer="709" w:gutter="0"/>
          <w:cols w:space="720"/>
        </w:sectPr>
      </w:pPr>
    </w:p>
    <w:p w14:paraId="62C7C9C3" w14:textId="77777777" w:rsidR="001B6C3B" w:rsidRDefault="001B6C3B" w:rsidP="001B6C3B">
      <w:pPr>
        <w:spacing w:after="0" w:line="240" w:lineRule="auto"/>
        <w:ind w:left="4820"/>
        <w:jc w:val="both"/>
        <w:rPr>
          <w:rFonts w:ascii="Times New Roman" w:hAnsi="Times New Roman" w:cs="Times New Roman"/>
          <w:b/>
          <w:sz w:val="24"/>
          <w:szCs w:val="24"/>
        </w:rPr>
      </w:pPr>
      <w:r>
        <w:rPr>
          <w:rFonts w:ascii="Times New Roman" w:hAnsi="Times New Roman" w:cs="Times New Roman"/>
          <w:b/>
          <w:sz w:val="24"/>
          <w:szCs w:val="24"/>
        </w:rPr>
        <w:lastRenderedPageBreak/>
        <w:t>УДК 347.155</w:t>
      </w:r>
    </w:p>
    <w:p w14:paraId="25942BC3" w14:textId="77777777" w:rsidR="001B6C3B" w:rsidRDefault="001B6C3B" w:rsidP="001B6C3B">
      <w:pPr>
        <w:spacing w:after="0" w:line="240" w:lineRule="auto"/>
        <w:ind w:left="4820"/>
        <w:jc w:val="both"/>
        <w:rPr>
          <w:rFonts w:ascii="Times New Roman" w:hAnsi="Times New Roman" w:cs="Times New Roman"/>
          <w:b/>
          <w:sz w:val="24"/>
          <w:szCs w:val="24"/>
        </w:rPr>
      </w:pPr>
      <w:r>
        <w:rPr>
          <w:rFonts w:ascii="Times New Roman" w:hAnsi="Times New Roman" w:cs="Times New Roman"/>
          <w:b/>
          <w:sz w:val="24"/>
          <w:szCs w:val="24"/>
        </w:rPr>
        <w:t>Гриненко А.А.</w:t>
      </w:r>
    </w:p>
    <w:p w14:paraId="405F9D39" w14:textId="77777777" w:rsidR="001B6C3B" w:rsidRDefault="001B6C3B" w:rsidP="001B6C3B">
      <w:pPr>
        <w:spacing w:after="0" w:line="240" w:lineRule="auto"/>
        <w:ind w:left="4820"/>
        <w:jc w:val="both"/>
        <w:rPr>
          <w:rFonts w:ascii="Times New Roman" w:hAnsi="Times New Roman" w:cs="Times New Roman"/>
          <w:b/>
          <w:sz w:val="24"/>
          <w:szCs w:val="24"/>
        </w:rPr>
      </w:pPr>
      <w:r>
        <w:rPr>
          <w:rFonts w:ascii="Times New Roman" w:hAnsi="Times New Roman" w:cs="Times New Roman"/>
          <w:b/>
          <w:sz w:val="24"/>
          <w:szCs w:val="24"/>
        </w:rPr>
        <w:t xml:space="preserve">                                                                  </w:t>
      </w:r>
      <w:r>
        <w:rPr>
          <w:rFonts w:ascii="Times New Roman" w:hAnsi="Times New Roman" w:cs="Times New Roman"/>
          <w:b/>
          <w:sz w:val="24"/>
          <w:szCs w:val="24"/>
          <w:lang w:val="en-US"/>
        </w:rPr>
        <w:t>Grinenko</w:t>
      </w:r>
      <w:r w:rsidRPr="00430C1C">
        <w:rPr>
          <w:rFonts w:ascii="Times New Roman" w:hAnsi="Times New Roman" w:cs="Times New Roman"/>
          <w:b/>
          <w:sz w:val="24"/>
          <w:szCs w:val="24"/>
        </w:rPr>
        <w:t xml:space="preserve"> </w:t>
      </w:r>
      <w:r>
        <w:rPr>
          <w:rFonts w:ascii="Times New Roman" w:hAnsi="Times New Roman" w:cs="Times New Roman"/>
          <w:b/>
          <w:sz w:val="24"/>
          <w:szCs w:val="24"/>
          <w:lang w:val="en-US"/>
        </w:rPr>
        <w:t>A</w:t>
      </w:r>
      <w:r>
        <w:rPr>
          <w:rFonts w:ascii="Times New Roman" w:hAnsi="Times New Roman" w:cs="Times New Roman"/>
          <w:b/>
          <w:sz w:val="24"/>
          <w:szCs w:val="24"/>
        </w:rPr>
        <w:t>.</w:t>
      </w:r>
      <w:r>
        <w:rPr>
          <w:rFonts w:ascii="Times New Roman" w:hAnsi="Times New Roman" w:cs="Times New Roman"/>
          <w:b/>
          <w:sz w:val="24"/>
          <w:szCs w:val="24"/>
          <w:lang w:val="en-US"/>
        </w:rPr>
        <w:t>A</w:t>
      </w:r>
      <w:r>
        <w:rPr>
          <w:rFonts w:ascii="Times New Roman" w:hAnsi="Times New Roman" w:cs="Times New Roman"/>
          <w:b/>
          <w:sz w:val="24"/>
          <w:szCs w:val="24"/>
        </w:rPr>
        <w:t>.</w:t>
      </w:r>
    </w:p>
    <w:p w14:paraId="2F1F7531" w14:textId="77777777" w:rsidR="001B6C3B" w:rsidRDefault="001B6C3B" w:rsidP="001B6C3B">
      <w:pPr>
        <w:spacing w:after="0" w:line="240" w:lineRule="auto"/>
        <w:ind w:left="4820"/>
        <w:jc w:val="both"/>
        <w:rPr>
          <w:rFonts w:ascii="Times New Roman" w:hAnsi="Times New Roman" w:cs="Times New Roman"/>
          <w:sz w:val="24"/>
          <w:szCs w:val="24"/>
          <w:lang w:val="en-US"/>
        </w:rPr>
      </w:pPr>
      <w:r>
        <w:rPr>
          <w:rFonts w:ascii="Times New Roman" w:hAnsi="Times New Roman" w:cs="Times New Roman"/>
          <w:sz w:val="24"/>
          <w:szCs w:val="24"/>
        </w:rPr>
        <w:t>Федеральное государственное бюджетное образовательное учреждение   высшего образования «Кубанский государственный аграрный университет имени И.Т.     Трубилина</w:t>
      </w:r>
      <w:r>
        <w:rPr>
          <w:rFonts w:ascii="Times New Roman" w:hAnsi="Times New Roman" w:cs="Times New Roman"/>
          <w:sz w:val="24"/>
          <w:szCs w:val="24"/>
          <w:lang w:val="en-US"/>
        </w:rPr>
        <w:t xml:space="preserve">» </w:t>
      </w:r>
    </w:p>
    <w:p w14:paraId="64DF9857" w14:textId="77777777" w:rsidR="001B6C3B" w:rsidRDefault="001B6C3B" w:rsidP="001B6C3B">
      <w:pPr>
        <w:spacing w:after="0" w:line="240" w:lineRule="auto"/>
        <w:ind w:left="4820"/>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Federal State Budgetary Educational Institution of Higher Education “Kuban State Agrarian University named after I.T. Trubilin” </w:t>
      </w:r>
      <w:r>
        <w:rPr>
          <w:rFonts w:ascii="Times New Roman" w:hAnsi="Times New Roman" w:cs="Times New Roman"/>
          <w:sz w:val="24"/>
          <w:szCs w:val="24"/>
        </w:rPr>
        <w:t>Российская</w:t>
      </w:r>
      <w:r>
        <w:rPr>
          <w:rFonts w:ascii="Times New Roman" w:hAnsi="Times New Roman" w:cs="Times New Roman"/>
          <w:sz w:val="24"/>
          <w:szCs w:val="24"/>
          <w:lang w:val="en-US"/>
        </w:rPr>
        <w:t xml:space="preserve"> </w:t>
      </w:r>
      <w:r>
        <w:rPr>
          <w:rFonts w:ascii="Times New Roman" w:hAnsi="Times New Roman" w:cs="Times New Roman"/>
          <w:sz w:val="24"/>
          <w:szCs w:val="24"/>
        </w:rPr>
        <w:t>Федерация</w:t>
      </w:r>
      <w:r>
        <w:rPr>
          <w:rFonts w:ascii="Times New Roman" w:hAnsi="Times New Roman" w:cs="Times New Roman"/>
          <w:sz w:val="24"/>
          <w:szCs w:val="24"/>
          <w:lang w:val="en-US"/>
        </w:rPr>
        <w:t xml:space="preserve">, </w:t>
      </w:r>
      <w:r>
        <w:rPr>
          <w:rFonts w:ascii="Times New Roman" w:hAnsi="Times New Roman" w:cs="Times New Roman"/>
          <w:sz w:val="24"/>
          <w:szCs w:val="24"/>
        </w:rPr>
        <w:t>г</w:t>
      </w:r>
      <w:r>
        <w:rPr>
          <w:rFonts w:ascii="Times New Roman" w:hAnsi="Times New Roman" w:cs="Times New Roman"/>
          <w:sz w:val="24"/>
          <w:szCs w:val="24"/>
          <w:lang w:val="en-US"/>
        </w:rPr>
        <w:t xml:space="preserve">. </w:t>
      </w:r>
      <w:r>
        <w:rPr>
          <w:rFonts w:ascii="Times New Roman" w:hAnsi="Times New Roman" w:cs="Times New Roman"/>
          <w:sz w:val="24"/>
          <w:szCs w:val="24"/>
        </w:rPr>
        <w:t>Краснодар</w:t>
      </w:r>
      <w:r>
        <w:rPr>
          <w:rFonts w:ascii="Times New Roman" w:hAnsi="Times New Roman" w:cs="Times New Roman"/>
          <w:sz w:val="24"/>
          <w:szCs w:val="24"/>
          <w:lang w:val="en-US"/>
        </w:rPr>
        <w:t xml:space="preserve"> Russian Federation, Krasnodar</w:t>
      </w:r>
    </w:p>
    <w:p w14:paraId="70E41CA4" w14:textId="77777777" w:rsidR="001B6C3B" w:rsidRDefault="001B6C3B" w:rsidP="001B6C3B">
      <w:pPr>
        <w:spacing w:after="0" w:line="240" w:lineRule="auto"/>
        <w:ind w:left="4820"/>
        <w:jc w:val="both"/>
        <w:rPr>
          <w:rFonts w:ascii="Times New Roman" w:hAnsi="Times New Roman" w:cs="Times New Roman"/>
          <w:sz w:val="24"/>
          <w:szCs w:val="24"/>
          <w:lang w:val="en-US"/>
        </w:rPr>
      </w:pPr>
      <w:r>
        <w:rPr>
          <w:rFonts w:ascii="Times New Roman" w:hAnsi="Times New Roman" w:cs="Times New Roman"/>
          <w:b/>
          <w:sz w:val="24"/>
          <w:szCs w:val="24"/>
        </w:rPr>
        <w:t>Кончаков</w:t>
      </w:r>
      <w:r>
        <w:rPr>
          <w:rFonts w:ascii="Times New Roman" w:hAnsi="Times New Roman" w:cs="Times New Roman"/>
          <w:b/>
          <w:sz w:val="24"/>
          <w:szCs w:val="24"/>
          <w:lang w:val="en-US"/>
        </w:rPr>
        <w:t xml:space="preserve"> </w:t>
      </w:r>
      <w:r>
        <w:rPr>
          <w:rFonts w:ascii="Times New Roman" w:hAnsi="Times New Roman" w:cs="Times New Roman"/>
          <w:b/>
          <w:sz w:val="24"/>
          <w:szCs w:val="24"/>
        </w:rPr>
        <w:t>А</w:t>
      </w:r>
      <w:r>
        <w:rPr>
          <w:rFonts w:ascii="Times New Roman" w:hAnsi="Times New Roman" w:cs="Times New Roman"/>
          <w:b/>
          <w:sz w:val="24"/>
          <w:szCs w:val="24"/>
          <w:lang w:val="en-US"/>
        </w:rPr>
        <w:t>.</w:t>
      </w:r>
      <w:r>
        <w:rPr>
          <w:rFonts w:ascii="Times New Roman" w:hAnsi="Times New Roman" w:cs="Times New Roman"/>
          <w:b/>
          <w:sz w:val="24"/>
          <w:szCs w:val="24"/>
        </w:rPr>
        <w:t>Б</w:t>
      </w:r>
      <w:r>
        <w:rPr>
          <w:rFonts w:ascii="Times New Roman" w:hAnsi="Times New Roman" w:cs="Times New Roman"/>
          <w:sz w:val="24"/>
          <w:szCs w:val="24"/>
          <w:lang w:val="en-US"/>
        </w:rPr>
        <w:t>.</w:t>
      </w:r>
      <w:r>
        <w:rPr>
          <w:rFonts w:ascii="Times New Roman" w:hAnsi="Times New Roman" w:cs="Times New Roman"/>
          <w:sz w:val="24"/>
          <w:szCs w:val="24"/>
        </w:rPr>
        <w:t>научный</w:t>
      </w:r>
      <w:r>
        <w:rPr>
          <w:rFonts w:ascii="Times New Roman" w:hAnsi="Times New Roman" w:cs="Times New Roman"/>
          <w:sz w:val="24"/>
          <w:szCs w:val="24"/>
          <w:lang w:val="en-US"/>
        </w:rPr>
        <w:t xml:space="preserve"> </w:t>
      </w:r>
      <w:r>
        <w:rPr>
          <w:rFonts w:ascii="Times New Roman" w:hAnsi="Times New Roman" w:cs="Times New Roman"/>
          <w:sz w:val="24"/>
          <w:szCs w:val="24"/>
        </w:rPr>
        <w:t>руководитель</w:t>
      </w:r>
    </w:p>
    <w:p w14:paraId="7A2BB403" w14:textId="77777777" w:rsidR="001B6C3B" w:rsidRDefault="001B6C3B" w:rsidP="001B6C3B">
      <w:pPr>
        <w:spacing w:after="0" w:line="240" w:lineRule="auto"/>
        <w:ind w:left="4820"/>
        <w:jc w:val="both"/>
        <w:rPr>
          <w:rFonts w:ascii="Times New Roman" w:hAnsi="Times New Roman" w:cs="Times New Roman"/>
          <w:sz w:val="24"/>
          <w:szCs w:val="24"/>
          <w:lang w:val="en-US"/>
        </w:rPr>
      </w:pPr>
      <w:r>
        <w:rPr>
          <w:rFonts w:ascii="Times New Roman" w:hAnsi="Times New Roman" w:cs="Times New Roman"/>
          <w:b/>
          <w:sz w:val="24"/>
          <w:szCs w:val="24"/>
          <w:lang w:val="en-US"/>
        </w:rPr>
        <w:t>A. Konchakov</w:t>
      </w:r>
      <w:r>
        <w:rPr>
          <w:rFonts w:ascii="Times New Roman" w:hAnsi="Times New Roman" w:cs="Times New Roman"/>
          <w:sz w:val="24"/>
          <w:szCs w:val="24"/>
          <w:lang w:val="en-US"/>
        </w:rPr>
        <w:t xml:space="preserve"> scientific director</w:t>
      </w:r>
    </w:p>
    <w:p w14:paraId="79A5E1C7" w14:textId="77777777" w:rsidR="001B6C3B" w:rsidRDefault="001B6C3B" w:rsidP="001B6C3B">
      <w:pPr>
        <w:spacing w:after="0" w:line="240" w:lineRule="auto"/>
        <w:ind w:firstLine="709"/>
        <w:jc w:val="center"/>
        <w:rPr>
          <w:rFonts w:ascii="Times New Roman" w:hAnsi="Times New Roman" w:cs="Times New Roman"/>
          <w:b/>
          <w:sz w:val="24"/>
          <w:szCs w:val="24"/>
          <w:lang w:val="en-US"/>
        </w:rPr>
      </w:pPr>
    </w:p>
    <w:p w14:paraId="6BD397E3" w14:textId="77777777" w:rsidR="001B6C3B" w:rsidRDefault="001B6C3B" w:rsidP="001B6C3B">
      <w:pPr>
        <w:spacing w:after="0" w:line="240" w:lineRule="auto"/>
        <w:ind w:firstLine="709"/>
        <w:jc w:val="center"/>
        <w:rPr>
          <w:rFonts w:ascii="Times New Roman" w:hAnsi="Times New Roman" w:cs="Times New Roman"/>
          <w:b/>
          <w:sz w:val="24"/>
          <w:szCs w:val="24"/>
        </w:rPr>
      </w:pPr>
      <w:r>
        <w:rPr>
          <w:rFonts w:ascii="Times New Roman" w:hAnsi="Times New Roman" w:cs="Times New Roman"/>
          <w:b/>
          <w:sz w:val="24"/>
          <w:szCs w:val="24"/>
        </w:rPr>
        <w:t>ОГРАНИЧЕНИЕ ДЕЕСПОСОБНОСТИ ГРАЖДАНИНА</w:t>
      </w:r>
    </w:p>
    <w:p w14:paraId="2F76BE66" w14:textId="77777777" w:rsidR="001B6C3B" w:rsidRDefault="001B6C3B" w:rsidP="001B6C3B">
      <w:pPr>
        <w:spacing w:after="0" w:line="240" w:lineRule="auto"/>
        <w:ind w:firstLine="709"/>
        <w:jc w:val="center"/>
        <w:rPr>
          <w:rFonts w:ascii="Times New Roman" w:hAnsi="Times New Roman" w:cs="Times New Roman"/>
          <w:b/>
          <w:sz w:val="24"/>
          <w:szCs w:val="24"/>
        </w:rPr>
      </w:pPr>
      <w:r>
        <w:rPr>
          <w:rFonts w:ascii="Times New Roman" w:hAnsi="Times New Roman" w:cs="Times New Roman"/>
          <w:b/>
          <w:sz w:val="24"/>
          <w:szCs w:val="24"/>
        </w:rPr>
        <w:t>RESTRICTION OF CITIZEN'S CAPABILITY</w:t>
      </w:r>
    </w:p>
    <w:p w14:paraId="79732E49" w14:textId="77777777" w:rsidR="001B6C3B" w:rsidRDefault="001B6C3B" w:rsidP="001B6C3B">
      <w:pPr>
        <w:spacing w:after="0" w:line="240" w:lineRule="auto"/>
        <w:ind w:firstLine="709"/>
        <w:jc w:val="both"/>
        <w:rPr>
          <w:rFonts w:ascii="Times New Roman" w:hAnsi="Times New Roman" w:cs="Times New Roman"/>
          <w:i/>
          <w:sz w:val="24"/>
          <w:szCs w:val="24"/>
        </w:rPr>
      </w:pPr>
    </w:p>
    <w:p w14:paraId="52C3A18D" w14:textId="77777777" w:rsidR="001B6C3B" w:rsidRDefault="001B6C3B" w:rsidP="001B6C3B">
      <w:pPr>
        <w:spacing w:after="0" w:line="240" w:lineRule="auto"/>
        <w:ind w:firstLine="709"/>
        <w:jc w:val="both"/>
        <w:rPr>
          <w:rFonts w:ascii="Times New Roman" w:hAnsi="Times New Roman" w:cs="Times New Roman"/>
          <w:i/>
          <w:sz w:val="24"/>
          <w:szCs w:val="24"/>
        </w:rPr>
      </w:pPr>
      <w:r>
        <w:rPr>
          <w:rFonts w:ascii="Times New Roman" w:hAnsi="Times New Roman" w:cs="Times New Roman"/>
          <w:i/>
          <w:sz w:val="24"/>
          <w:szCs w:val="24"/>
        </w:rPr>
        <w:t>Аннотация:</w:t>
      </w:r>
      <w:r>
        <w:rPr>
          <w:rFonts w:ascii="Times New Roman" w:hAnsi="Times New Roman" w:cs="Times New Roman"/>
          <w:sz w:val="24"/>
          <w:szCs w:val="24"/>
        </w:rPr>
        <w:t xml:space="preserve"> </w:t>
      </w:r>
      <w:r>
        <w:rPr>
          <w:rFonts w:ascii="Times New Roman" w:hAnsi="Times New Roman" w:cs="Times New Roman"/>
          <w:i/>
          <w:sz w:val="24"/>
          <w:szCs w:val="24"/>
        </w:rPr>
        <w:t>В данной статье рассматривается само понятие дееспособности и различные трактовки его понимания .Главный рассматриваемый вопрос в статье заключается в понимании ограничения дееспособности гражданина. Какие условия  необходимы для ограничения дееспособности и в каких нормативно-правовых актах это  закреплено .В каком порядке данное действие может осуществляться и на основании чего и кем дело об ограничение дееспособности может быть возбуждено.</w:t>
      </w:r>
    </w:p>
    <w:p w14:paraId="361981F4" w14:textId="77777777" w:rsidR="001B6C3B" w:rsidRDefault="001B6C3B" w:rsidP="001B6C3B">
      <w:pPr>
        <w:spacing w:after="0" w:line="240" w:lineRule="auto"/>
        <w:ind w:firstLine="709"/>
        <w:jc w:val="both"/>
        <w:rPr>
          <w:rFonts w:ascii="Times New Roman" w:hAnsi="Times New Roman" w:cs="Times New Roman"/>
          <w:i/>
          <w:sz w:val="24"/>
          <w:szCs w:val="24"/>
        </w:rPr>
      </w:pPr>
      <w:r>
        <w:rPr>
          <w:rFonts w:ascii="Times New Roman" w:hAnsi="Times New Roman" w:cs="Times New Roman"/>
          <w:i/>
          <w:sz w:val="24"/>
          <w:szCs w:val="24"/>
        </w:rPr>
        <w:t>Ключевые слова: дееспосбность; эмансипация;  ограничение дееспособности; деликтоспособность; попечитель; злоупотребление спиртными напитками,</w:t>
      </w:r>
      <w:r>
        <w:rPr>
          <w:rFonts w:ascii="Times New Roman" w:hAnsi="Times New Roman" w:cs="Times New Roman"/>
          <w:sz w:val="24"/>
          <w:szCs w:val="24"/>
        </w:rPr>
        <w:t xml:space="preserve"> </w:t>
      </w:r>
      <w:r>
        <w:rPr>
          <w:rFonts w:ascii="Times New Roman" w:hAnsi="Times New Roman" w:cs="Times New Roman"/>
          <w:i/>
          <w:sz w:val="24"/>
          <w:szCs w:val="24"/>
        </w:rPr>
        <w:t xml:space="preserve">тяжелое материальное положение </w:t>
      </w:r>
    </w:p>
    <w:p w14:paraId="0B9B3E6B" w14:textId="77777777" w:rsidR="001B6C3B" w:rsidRDefault="001B6C3B" w:rsidP="001B6C3B">
      <w:pPr>
        <w:spacing w:after="0" w:line="240" w:lineRule="auto"/>
        <w:ind w:firstLine="709"/>
        <w:jc w:val="both"/>
        <w:rPr>
          <w:rFonts w:ascii="Times New Roman" w:hAnsi="Times New Roman" w:cs="Times New Roman"/>
          <w:i/>
          <w:sz w:val="24"/>
          <w:szCs w:val="24"/>
          <w:lang w:val="en-US"/>
        </w:rPr>
      </w:pPr>
      <w:r>
        <w:rPr>
          <w:rFonts w:ascii="Times New Roman" w:hAnsi="Times New Roman" w:cs="Times New Roman"/>
          <w:i/>
          <w:sz w:val="24"/>
          <w:szCs w:val="24"/>
          <w:lang w:val="en-US"/>
        </w:rPr>
        <w:t>Аnnotation: This article discusses the concept of legal capacity and various interpretations of its understanding. The main issue under consideration in the article is the understanding of the restriction of a citizen's legal capacity. What conditions are necessary for limiting legal capacity and in what legal acts this is fixed .In what order this action can be carried out and on the basis of what and by whom the case on restriction of legal capacity can be initiated.</w:t>
      </w:r>
    </w:p>
    <w:p w14:paraId="5DB63B01" w14:textId="77777777" w:rsidR="001B6C3B" w:rsidRDefault="001B6C3B" w:rsidP="001B6C3B">
      <w:pPr>
        <w:spacing w:after="0" w:line="240" w:lineRule="auto"/>
        <w:ind w:firstLine="709"/>
        <w:jc w:val="both"/>
        <w:rPr>
          <w:rFonts w:ascii="Times New Roman" w:hAnsi="Times New Roman" w:cs="Times New Roman"/>
          <w:i/>
          <w:sz w:val="24"/>
          <w:szCs w:val="24"/>
          <w:lang w:val="en-US"/>
        </w:rPr>
      </w:pPr>
      <w:r>
        <w:rPr>
          <w:rFonts w:ascii="Times New Roman" w:hAnsi="Times New Roman" w:cs="Times New Roman"/>
          <w:i/>
          <w:sz w:val="24"/>
          <w:szCs w:val="24"/>
          <w:lang w:val="en-US"/>
        </w:rPr>
        <w:t>Keywords: legal competence, emancipation, legal personality, limitation of legal capacity, citizen,, tortability, squandering, trustee, abuse of alcohol,</w:t>
      </w:r>
      <w:r>
        <w:rPr>
          <w:rFonts w:ascii="Times New Roman" w:hAnsi="Times New Roman" w:cs="Times New Roman"/>
          <w:sz w:val="24"/>
          <w:szCs w:val="24"/>
          <w:lang w:val="en-US"/>
        </w:rPr>
        <w:t xml:space="preserve"> </w:t>
      </w:r>
      <w:r>
        <w:rPr>
          <w:rFonts w:ascii="Times New Roman" w:hAnsi="Times New Roman" w:cs="Times New Roman"/>
          <w:i/>
          <w:sz w:val="24"/>
          <w:szCs w:val="24"/>
          <w:lang w:val="en-US"/>
        </w:rPr>
        <w:t>difficult financial situation</w:t>
      </w:r>
    </w:p>
    <w:p w14:paraId="33026EAE"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Прежде чем начинать изучать вопрос об ограничении дееспособности гражданина, необходимо правильно понять что из себя представляет «дееспособность» в гражданском праве. Согласно ГК РФ дееспособностью гражданина является «способность гражданина своими действиями приобретать и осуществлять гражданские права, создавать для себя гражданские обязанности и исполнять их (гражданская дееспособность) возникает в полном объеме с наступлением совершеннолетия, то есть по достижении восемнадцатилетнего возраста».</w:t>
      </w:r>
      <w:r>
        <w:rPr>
          <w:rStyle w:val="a7"/>
          <w:rFonts w:ascii="Times New Roman" w:hAnsi="Times New Roman" w:cs="Times New Roman"/>
          <w:sz w:val="24"/>
          <w:szCs w:val="24"/>
        </w:rPr>
        <w:footnoteReference w:id="130"/>
      </w:r>
      <w:r>
        <w:rPr>
          <w:rFonts w:ascii="Times New Roman" w:hAnsi="Times New Roman" w:cs="Times New Roman"/>
          <w:sz w:val="24"/>
          <w:szCs w:val="24"/>
        </w:rPr>
        <w:t xml:space="preserve"> </w:t>
      </w:r>
    </w:p>
    <w:p w14:paraId="7F5CD077"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Само понятие может трактоваться по-разному ,например «По мнению С.Н. Братуся, в содержание дееспособности входит способность совершать сделки, деликтоспособность, а также способность совершать иные правомерные действия. Я.Р. Веберс пришел к следующему выводу, что дееспособность, по смыслу законодателя, имея значение для всего гражданского права, на самом деле охватывает лишь способность к совершению правомерных действий – сделок ,а по мнению Л.Г. Кузнецовой, содержание дееспособности заключает в себе несколько способностей: приобретать права и создавать для себя обязанности, осуществлять своими </w:t>
      </w:r>
      <w:r>
        <w:rPr>
          <w:rFonts w:ascii="Times New Roman" w:hAnsi="Times New Roman" w:cs="Times New Roman"/>
          <w:sz w:val="24"/>
          <w:szCs w:val="24"/>
        </w:rPr>
        <w:lastRenderedPageBreak/>
        <w:t>действиями принадлежащие другому лицу права и исполнять лежащие на нем обязанности…».</w:t>
      </w:r>
      <w:r>
        <w:rPr>
          <w:rStyle w:val="a7"/>
          <w:rFonts w:ascii="Times New Roman" w:hAnsi="Times New Roman" w:cs="Times New Roman"/>
          <w:sz w:val="24"/>
          <w:szCs w:val="24"/>
        </w:rPr>
        <w:footnoteReference w:id="131"/>
      </w:r>
    </w:p>
    <w:p w14:paraId="26B65B78"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Но существуют исключения приобретения дееспособности. К ним можно отнести вступления в брак до достижения восемнадцати лет, несовершеннолетний который достиг шестнадцать лет может быть объявлен полностью дееспособным, работая по трудовому договору, также по контракту или с согласия родителей ,усыновителей или попечителя занимается какой-либо предпринимательской деятельностью. То есть в процессе эмансипации. Необходимо отметить, что объявляется несовершеннолетний полностью дееспособным  по решению органа опеки и попечительства  с согласия обоих родителей, усыновителей или попечителя ,если такого согласия нет ,то по решению суда.</w:t>
      </w:r>
    </w:p>
    <w:p w14:paraId="3CDFD659"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Тема дееспособности и ее ограничение довольно дискуссионная с точки зрения теории и интересная в применении ее на практике. Можно сделать вывод, что данная тема является актуальной в наше время, ведь дееспособность один из основных элементов правосубъектности гражданина и он играет в важнейшую роль в гражданских правоотношениях.</w:t>
      </w:r>
    </w:p>
    <w:p w14:paraId="722EE04E"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Что же из себя представляет ограничение дееспособности? В основном его определяют как лишение возможности приобретать права и обязанности, которые у него были. Некоторые дают определяют ограничение дееспособности как запрет самостоятельно совершать определенные сделки и распоряжаться доходами, но не исключение самостоятельной ответственности за причиненный вред.</w:t>
      </w:r>
      <w:r>
        <w:rPr>
          <w:rStyle w:val="a7"/>
          <w:rFonts w:ascii="Times New Roman" w:hAnsi="Times New Roman" w:cs="Times New Roman"/>
          <w:sz w:val="24"/>
          <w:szCs w:val="24"/>
        </w:rPr>
        <w:footnoteReference w:id="132"/>
      </w:r>
      <w:r>
        <w:rPr>
          <w:rFonts w:ascii="Times New Roman" w:hAnsi="Times New Roman" w:cs="Times New Roman"/>
          <w:sz w:val="24"/>
          <w:szCs w:val="24"/>
        </w:rPr>
        <w:t xml:space="preserve"> Тот «Гражданин, который вследствие пристрастия к азартным играм, злоупотребления спиртными напитками или наркотическими средствами ставит свою семью в тяжелое материальное положение, может быть ограничен судом в дееспособности в порядке, установленном гражданским процессуальным законодательством»</w:t>
      </w:r>
      <w:r>
        <w:rPr>
          <w:rStyle w:val="a7"/>
          <w:rFonts w:ascii="Times New Roman" w:hAnsi="Times New Roman" w:cs="Times New Roman"/>
          <w:sz w:val="24"/>
          <w:szCs w:val="24"/>
        </w:rPr>
        <w:footnoteReference w:id="133"/>
      </w:r>
      <w:r>
        <w:rPr>
          <w:rFonts w:ascii="Times New Roman" w:hAnsi="Times New Roman" w:cs="Times New Roman"/>
          <w:sz w:val="24"/>
          <w:szCs w:val="24"/>
        </w:rPr>
        <w:t>. Необходимо отметить, что над таким гражданином устанавливается попечитель лица, который несет субсидиарную ответственность за вред, причиненный его подопечным. Но все же за ограниченно дееспособным лицом остается право самостоятельно совершать мелкие бытовые сделки.</w:t>
      </w:r>
    </w:p>
    <w:p w14:paraId="0B601796"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Говоря о тяжелом материальном положении невозможно дать ему определённое понятие, так как граждане могут оценивает тяжесть материального положения по-разному. Но можно понять, что тяжелое материальное положение-это некий уровень благосостояния до того как гражданин стал злоупотреблять спиртными и наркотическим веществами и тот который наступил после. Именно это соотношений позволяет нам понять и оценить всю тяжесть материального положения конкретной семьи в данное время. «То есть суд, рассматривая дело об ограничении дееспособности гражданина и определяя материальное положение семьи, сложившееся в результате употребления гражданином названных веществ, должен сопоставить уровень благосостояния конкретной семьи на момент рассмотрения дела в соотношении с уровнем до начала злоупотребления спиртными напитками или немедицинского потребления наркотических средств (психотропных веществ).»</w:t>
      </w:r>
      <w:r>
        <w:rPr>
          <w:rStyle w:val="a7"/>
          <w:rFonts w:ascii="Times New Roman" w:hAnsi="Times New Roman" w:cs="Times New Roman"/>
          <w:sz w:val="24"/>
          <w:szCs w:val="24"/>
        </w:rPr>
        <w:footnoteReference w:id="134"/>
      </w:r>
    </w:p>
    <w:p w14:paraId="007583BA"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Также Гражданским Кодексом устанавливается ограничение судом дееспособности граждан, которые вследствие психического расстройства могут понимать значение своих действий или руководить ими только при помощи других людей над такими гражданами устанавливается попечительства. Такой гражданин может «..распоряжаться выплачиваемыми на него алиментами, социальной пенсией, возмещением вреда здоровью и в связи со смертью </w:t>
      </w:r>
      <w:r>
        <w:rPr>
          <w:rFonts w:ascii="Times New Roman" w:hAnsi="Times New Roman" w:cs="Times New Roman"/>
          <w:sz w:val="24"/>
          <w:szCs w:val="24"/>
        </w:rPr>
        <w:lastRenderedPageBreak/>
        <w:t>кормильца и иными предоставляемыми на его содержание выплатами с письменного согласия попечителя.»</w:t>
      </w:r>
      <w:r>
        <w:rPr>
          <w:rStyle w:val="a7"/>
          <w:rFonts w:ascii="Times New Roman" w:hAnsi="Times New Roman" w:cs="Times New Roman"/>
          <w:sz w:val="24"/>
          <w:szCs w:val="24"/>
        </w:rPr>
        <w:footnoteReference w:id="135"/>
      </w:r>
      <w:r>
        <w:rPr>
          <w:rFonts w:ascii="Times New Roman" w:hAnsi="Times New Roman" w:cs="Times New Roman"/>
          <w:sz w:val="24"/>
          <w:szCs w:val="24"/>
        </w:rPr>
        <w:t xml:space="preserve"> Попечитель получает и расходует заработок, пенсию и иные доходы ограниченно дееспособного гражданина, только в интересах подопечного.</w:t>
      </w:r>
    </w:p>
    <w:p w14:paraId="374B2CD2"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Если более углубленно рассматривать вопрос об основаниях установления ограничения дееспособности, связанное с азартными играми, злоупотреблением спиртными напитками или наркотическими средствами, то можно отметить , что  понятие злоупотребления спиртными напитками или наркотическими средствами было более уточнено в Постановлении Пленума Верховного Суда РФ «О применении судами некоторых положений раздела I части первой Гражданского кодекса Российской Федерации»</w:t>
      </w:r>
      <w:r>
        <w:rPr>
          <w:rStyle w:val="a7"/>
          <w:rFonts w:ascii="Times New Roman" w:hAnsi="Times New Roman" w:cs="Times New Roman"/>
          <w:sz w:val="24"/>
          <w:szCs w:val="24"/>
        </w:rPr>
        <w:footnoteReference w:id="136"/>
      </w:r>
      <w:r>
        <w:rPr>
          <w:rFonts w:ascii="Times New Roman" w:hAnsi="Times New Roman" w:cs="Times New Roman"/>
          <w:sz w:val="24"/>
          <w:szCs w:val="24"/>
        </w:rPr>
        <w:t>. Следующей составной частью. основания ограничения дееспособности является пристрастие к азартным играм. «Под пристрастием к азартным играм, согласно выше упомянутому Постановлению Пленума Верховного Суда РФ, следует понимать психологическую зависимость и труднопреодолимое влечение к игре, которое также характеризуется расстройствами поведения, психического здоровья и самочувствия лица, которые проявляются в патологическом влечении к азартным играм, потере игрового контроля, а также в продолжительном участии в азартных играх вопреки наступлению неблагоприятных последствий для материального благосостояния членов его семьи»</w:t>
      </w:r>
      <w:r>
        <w:rPr>
          <w:rStyle w:val="a7"/>
          <w:rFonts w:ascii="Times New Roman" w:hAnsi="Times New Roman" w:cs="Times New Roman"/>
          <w:sz w:val="24"/>
          <w:szCs w:val="24"/>
        </w:rPr>
        <w:footnoteReference w:id="137"/>
      </w:r>
      <w:r>
        <w:rPr>
          <w:rFonts w:ascii="Times New Roman" w:hAnsi="Times New Roman" w:cs="Times New Roman"/>
          <w:sz w:val="24"/>
          <w:szCs w:val="24"/>
        </w:rPr>
        <w:t>.</w:t>
      </w:r>
    </w:p>
    <w:p w14:paraId="5A033B3F"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Другим основанием ограничения дееспособности лица является психическое расстройство, из-за которого гражданин может понимать значение своих действий или руководить ими лишь при помощи других лиц. Такой гражданин, дееспособность которого ограничена вследствие психического расстройства самостоятельно несет имущественную ответственность по сделкам, совершенным им . В случае с гражданином с психическим расстройством  необходимо определить степень нарушений и способность оценивать окружающую среду и свое поведение по отношению к другим. Если же судом будет установлено что такой гражданин не понимает значение своих действий или не может руководить ими даже при помощи других лиц, то суд вправе признать данное лицо недееспособным .</w:t>
      </w:r>
    </w:p>
    <w:p w14:paraId="4904C5B7"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Стоит отметить что существует различие между возбуждением дел об ограничении гражданина в дееспособности на основании, когда тот злоупотребляет спиртными напитками или наркотическими средствами или же если ограничение необходимо вследствие психического расстройства. Например если дело «об ограничении гражданина в дееспособности вследствие злоупотребления спиртными напитками или наркотическими средствами может быть возбуждено на основании заявления членов его семьи, органа опеки и попечительства, медицинской организации, оказывающей психиатрическую помощь»</w:t>
      </w:r>
      <w:r>
        <w:rPr>
          <w:rStyle w:val="a7"/>
          <w:rFonts w:ascii="Times New Roman" w:hAnsi="Times New Roman" w:cs="Times New Roman"/>
          <w:sz w:val="24"/>
          <w:szCs w:val="24"/>
        </w:rPr>
        <w:footnoteReference w:id="138"/>
      </w:r>
      <w:r>
        <w:rPr>
          <w:rFonts w:ascii="Times New Roman" w:hAnsi="Times New Roman" w:cs="Times New Roman"/>
          <w:sz w:val="24"/>
          <w:szCs w:val="24"/>
        </w:rPr>
        <w:t xml:space="preserve"> а «…вследствие психического расстройства может быть возбуждено в суде на основании заявления членов его семьи, близких родственников (родителей, детей, братьев, сестер) независимо от совместного с ним проживания, органа опеки и попечительства, медицинской организации, оказывающей психиатрическую помощь, или стационарной организации социального обслуживания, предназначенной для лиц, страдающих психическими расстройствами»</w:t>
      </w:r>
      <w:r>
        <w:rPr>
          <w:rStyle w:val="a7"/>
          <w:rFonts w:ascii="Times New Roman" w:hAnsi="Times New Roman" w:cs="Times New Roman"/>
          <w:sz w:val="24"/>
          <w:szCs w:val="24"/>
        </w:rPr>
        <w:footnoteReference w:id="139"/>
      </w:r>
      <w:r>
        <w:rPr>
          <w:rFonts w:ascii="Times New Roman" w:hAnsi="Times New Roman" w:cs="Times New Roman"/>
          <w:sz w:val="24"/>
          <w:szCs w:val="24"/>
        </w:rPr>
        <w:t xml:space="preserve"> Необходимо упомянуть об ограниченной частичной дееспособности. Возбуждение ограничения частичной дееспособности от четырнадцати до восемнадцати лет может быть возбуждено на основании заявления родителей, усыновителей или попечителя либо органа опеки и попечительства.</w:t>
      </w:r>
    </w:p>
    <w:p w14:paraId="5721D18D"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И в заключение всему описанному выше, можно сделать вывод , что ограничения способности физических лиц, которые злоупотребляют спиртными напитками или наркотическими средствами ,является правовым средством ,используемое для искоренение алкоголизма и наркомании в нашем государстве и некой помощью для граждан психическим расстройством ,которым необходим попечитель.</w:t>
      </w:r>
    </w:p>
    <w:p w14:paraId="4770E06B" w14:textId="77777777" w:rsidR="001B6C3B" w:rsidRDefault="001B6C3B" w:rsidP="001B6C3B">
      <w:pPr>
        <w:spacing w:after="0" w:line="240" w:lineRule="auto"/>
        <w:jc w:val="both"/>
        <w:rPr>
          <w:rFonts w:ascii="Times New Roman" w:hAnsi="Times New Roman" w:cs="Times New Roman"/>
          <w:sz w:val="24"/>
          <w:szCs w:val="24"/>
        </w:rPr>
      </w:pPr>
    </w:p>
    <w:p w14:paraId="505E4CAD" w14:textId="77777777" w:rsidR="001B6C3B" w:rsidRDefault="001B6C3B" w:rsidP="001B6C3B">
      <w:pPr>
        <w:spacing w:after="0" w:line="240" w:lineRule="auto"/>
        <w:jc w:val="both"/>
        <w:rPr>
          <w:rFonts w:ascii="Times New Roman" w:hAnsi="Times New Roman" w:cs="Times New Roman"/>
          <w:sz w:val="24"/>
          <w:szCs w:val="24"/>
        </w:rPr>
      </w:pPr>
    </w:p>
    <w:p w14:paraId="4CB06097" w14:textId="77777777" w:rsidR="001B6C3B" w:rsidRDefault="001B6C3B" w:rsidP="001B6C3B">
      <w:pPr>
        <w:spacing w:after="0" w:line="240" w:lineRule="auto"/>
        <w:ind w:firstLine="709"/>
        <w:jc w:val="both"/>
        <w:rPr>
          <w:rFonts w:ascii="Times New Roman" w:hAnsi="Times New Roman" w:cs="Times New Roman"/>
          <w:b/>
          <w:sz w:val="24"/>
          <w:szCs w:val="24"/>
        </w:rPr>
      </w:pPr>
      <w:r>
        <w:rPr>
          <w:rFonts w:ascii="Times New Roman" w:hAnsi="Times New Roman" w:cs="Times New Roman"/>
          <w:b/>
          <w:sz w:val="24"/>
          <w:szCs w:val="24"/>
        </w:rPr>
        <w:t>Библиографический список</w:t>
      </w:r>
    </w:p>
    <w:p w14:paraId="25764F3B" w14:textId="77777777" w:rsidR="001B6C3B" w:rsidRDefault="001B6C3B" w:rsidP="00E3198A">
      <w:pPr>
        <w:numPr>
          <w:ilvl w:val="0"/>
          <w:numId w:val="17"/>
        </w:numPr>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Акимова Светлана Борисовна, Синьков Роман Владимирович Дееспособность в гражданском праве // Наука. Общество. Государство. 2019. №1 (25). URL: https://cyberleninka.ru/article/n/deesposobnost-v-grazhdanskom-prave (дата обращения: 20.04.2020).</w:t>
      </w:r>
    </w:p>
    <w:p w14:paraId="46CA641F" w14:textId="77777777" w:rsidR="001B6C3B" w:rsidRDefault="001B6C3B" w:rsidP="00E3198A">
      <w:pPr>
        <w:numPr>
          <w:ilvl w:val="0"/>
          <w:numId w:val="17"/>
        </w:numPr>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Дарчиева Л.В. Основания ограничения дееспособности граждан в современных условиях развития общества // Вестник экономической безопасности. 2008. №4. URL: https://cyberleninka.ru/article/n/osnovaniya-ogranicheniya-deesposobnosti-grazhdan-v-sovremennyh-usloviyah-razvitiya-obschestva (дата обращения: 20.04.2020).-С.132-134</w:t>
      </w:r>
    </w:p>
    <w:p w14:paraId="5D6FE35C" w14:textId="77777777" w:rsidR="001B6C3B" w:rsidRDefault="001B6C3B" w:rsidP="00E3198A">
      <w:pPr>
        <w:numPr>
          <w:ilvl w:val="0"/>
          <w:numId w:val="17"/>
        </w:numPr>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А.Ю. Кулагина Ограничение дееспособности физического лица: проблематика правоприменения // Вестник МИЭП. 2015. №Конференция. URL: https://cyberleninka.ru/article/n/ogranichenie-deesposobnosti-fizicheskogo-litsa-problematika-pravoprimeneniya (дата обращения: 20.04.2020)С.205-209</w:t>
      </w:r>
    </w:p>
    <w:p w14:paraId="2872220E" w14:textId="77777777" w:rsidR="001B6C3B" w:rsidRDefault="001B6C3B" w:rsidP="00E3198A">
      <w:pPr>
        <w:numPr>
          <w:ilvl w:val="0"/>
          <w:numId w:val="17"/>
        </w:numPr>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Фомичева Надежда Валентиновна Ограничение гражданина в дееспособности: сравнительно-правовой анализ // Вестник СГЮА. 2014. №5 (100). URL: https://cyberleninka.ru/article/n/ogranichenie-grazhdanina-v-deesposobnosti-sravnitelno-pravovoy-analiz (дата обращения: 20.04.2020).-С.57-</w:t>
      </w:r>
    </w:p>
    <w:p w14:paraId="3D914090" w14:textId="77777777" w:rsidR="001B6C3B" w:rsidRDefault="001B6C3B" w:rsidP="001B6C3B">
      <w:pPr>
        <w:spacing w:after="0" w:line="240" w:lineRule="auto"/>
        <w:rPr>
          <w:rFonts w:ascii="Times New Roman" w:hAnsi="Times New Roman" w:cs="Times New Roman"/>
          <w:sz w:val="24"/>
          <w:szCs w:val="24"/>
        </w:rPr>
        <w:sectPr w:rsidR="001B6C3B">
          <w:footnotePr>
            <w:numRestart w:val="eachPage"/>
          </w:footnotePr>
          <w:pgSz w:w="11906" w:h="16838"/>
          <w:pgMar w:top="1134" w:right="1134" w:bottom="1134" w:left="1134" w:header="709" w:footer="709" w:gutter="0"/>
          <w:cols w:space="720"/>
        </w:sectPr>
      </w:pPr>
    </w:p>
    <w:p w14:paraId="0866A71D" w14:textId="77777777" w:rsidR="001B6C3B" w:rsidRDefault="001B6C3B" w:rsidP="001B6C3B">
      <w:pPr>
        <w:spacing w:after="0" w:line="240" w:lineRule="auto"/>
        <w:jc w:val="both"/>
        <w:rPr>
          <w:rFonts w:ascii="Times New Roman" w:hAnsi="Times New Roman" w:cs="Times New Roman"/>
          <w:sz w:val="24"/>
          <w:szCs w:val="24"/>
        </w:rPr>
      </w:pPr>
    </w:p>
    <w:p w14:paraId="6525ABFF" w14:textId="77777777" w:rsidR="001B6C3B" w:rsidRDefault="001B6C3B" w:rsidP="001B6C3B">
      <w:pPr>
        <w:spacing w:line="240" w:lineRule="auto"/>
        <w:jc w:val="right"/>
        <w:rPr>
          <w:rFonts w:ascii="Times New Roman" w:hAnsi="Times New Roman" w:cs="Times New Roman"/>
          <w:b/>
          <w:sz w:val="24"/>
          <w:szCs w:val="24"/>
        </w:rPr>
      </w:pPr>
      <w:r>
        <w:rPr>
          <w:rFonts w:ascii="Times New Roman" w:hAnsi="Times New Roman" w:cs="Times New Roman"/>
          <w:b/>
          <w:sz w:val="24"/>
          <w:szCs w:val="24"/>
        </w:rPr>
        <w:t>УДК 347.25</w:t>
      </w:r>
    </w:p>
    <w:p w14:paraId="714432C5" w14:textId="77777777" w:rsidR="001B6C3B" w:rsidRDefault="001B6C3B" w:rsidP="00F734BA">
      <w:pPr>
        <w:spacing w:line="240" w:lineRule="auto"/>
        <w:ind w:left="4962"/>
        <w:contextualSpacing/>
        <w:jc w:val="both"/>
        <w:rPr>
          <w:rFonts w:ascii="Times New Roman" w:hAnsi="Times New Roman" w:cs="Times New Roman"/>
          <w:sz w:val="24"/>
          <w:szCs w:val="24"/>
        </w:rPr>
      </w:pPr>
    </w:p>
    <w:p w14:paraId="605CA74D" w14:textId="77777777" w:rsidR="001B6C3B" w:rsidRDefault="001B6C3B" w:rsidP="00F734BA">
      <w:pPr>
        <w:spacing w:line="240" w:lineRule="auto"/>
        <w:ind w:left="4962"/>
        <w:contextualSpacing/>
        <w:jc w:val="both"/>
        <w:rPr>
          <w:rFonts w:ascii="Times New Roman" w:hAnsi="Times New Roman" w:cs="Times New Roman"/>
          <w:b/>
          <w:sz w:val="24"/>
          <w:szCs w:val="24"/>
        </w:rPr>
      </w:pPr>
      <w:r>
        <w:rPr>
          <w:rFonts w:ascii="Times New Roman" w:hAnsi="Times New Roman" w:cs="Times New Roman"/>
          <w:b/>
          <w:sz w:val="24"/>
          <w:szCs w:val="24"/>
        </w:rPr>
        <w:t>Джадан Егор Иванович</w:t>
      </w:r>
    </w:p>
    <w:p w14:paraId="5D8B1900" w14:textId="77777777" w:rsidR="001B6C3B" w:rsidRDefault="001B6C3B" w:rsidP="00F734BA">
      <w:pPr>
        <w:spacing w:line="240" w:lineRule="auto"/>
        <w:ind w:left="4962"/>
        <w:contextualSpacing/>
        <w:jc w:val="both"/>
        <w:rPr>
          <w:rFonts w:ascii="Times New Roman" w:hAnsi="Times New Roman" w:cs="Times New Roman"/>
          <w:b/>
          <w:sz w:val="24"/>
          <w:szCs w:val="24"/>
        </w:rPr>
      </w:pPr>
      <w:r>
        <w:rPr>
          <w:rFonts w:ascii="Times New Roman" w:hAnsi="Times New Roman" w:cs="Times New Roman"/>
          <w:b/>
          <w:sz w:val="24"/>
          <w:szCs w:val="24"/>
        </w:rPr>
        <w:t>Dzhadan Egor Ivanovich</w:t>
      </w:r>
    </w:p>
    <w:p w14:paraId="3C4B01A6" w14:textId="77777777" w:rsidR="001B6C3B" w:rsidRDefault="001B6C3B" w:rsidP="00F734BA">
      <w:pPr>
        <w:spacing w:line="240" w:lineRule="auto"/>
        <w:ind w:left="4962"/>
        <w:contextualSpacing/>
        <w:jc w:val="both"/>
        <w:rPr>
          <w:rFonts w:ascii="Times New Roman" w:hAnsi="Times New Roman" w:cs="Times New Roman"/>
          <w:sz w:val="24"/>
          <w:szCs w:val="24"/>
        </w:rPr>
      </w:pPr>
      <w:r>
        <w:rPr>
          <w:rFonts w:ascii="Times New Roman" w:hAnsi="Times New Roman" w:cs="Times New Roman"/>
          <w:sz w:val="24"/>
          <w:szCs w:val="24"/>
        </w:rPr>
        <w:t>магистрант Федеральное государственное бюджетное образовательное учреждение высшего образования«Кубанский государственный аграрный университет имени И.Т. Трубилина»</w:t>
      </w:r>
    </w:p>
    <w:p w14:paraId="248AFF52" w14:textId="77777777" w:rsidR="001B6C3B" w:rsidRDefault="001B6C3B" w:rsidP="00F734BA">
      <w:pPr>
        <w:spacing w:line="240" w:lineRule="auto"/>
        <w:ind w:left="4962"/>
        <w:contextualSpacing/>
        <w:jc w:val="both"/>
        <w:rPr>
          <w:rFonts w:ascii="Times New Roman" w:hAnsi="Times New Roman" w:cs="Times New Roman"/>
          <w:sz w:val="24"/>
          <w:szCs w:val="24"/>
          <w:lang w:val="en-US"/>
        </w:rPr>
      </w:pPr>
      <w:r>
        <w:rPr>
          <w:rFonts w:ascii="Times New Roman" w:hAnsi="Times New Roman" w:cs="Times New Roman"/>
          <w:sz w:val="24"/>
          <w:szCs w:val="24"/>
          <w:lang w:val="en-US"/>
        </w:rPr>
        <w:t>Federal State Budgetary Educational Institution of Higher Education</w:t>
      </w:r>
    </w:p>
    <w:p w14:paraId="0371A13E" w14:textId="77777777" w:rsidR="001B6C3B" w:rsidRDefault="001B6C3B" w:rsidP="00F734BA">
      <w:pPr>
        <w:spacing w:line="240" w:lineRule="auto"/>
        <w:ind w:left="4962"/>
        <w:contextualSpacing/>
        <w:jc w:val="both"/>
        <w:rPr>
          <w:rFonts w:ascii="Times New Roman" w:hAnsi="Times New Roman" w:cs="Times New Roman"/>
          <w:sz w:val="24"/>
          <w:szCs w:val="24"/>
          <w:lang w:val="en-US"/>
        </w:rPr>
      </w:pPr>
      <w:r>
        <w:rPr>
          <w:rFonts w:ascii="Times New Roman" w:hAnsi="Times New Roman" w:cs="Times New Roman"/>
          <w:sz w:val="24"/>
          <w:szCs w:val="24"/>
          <w:lang w:val="en-US"/>
        </w:rPr>
        <w:t>«Kuban State Agrarian University named after I.T. Trubilin»</w:t>
      </w:r>
    </w:p>
    <w:p w14:paraId="394380B2" w14:textId="77777777" w:rsidR="001B6C3B" w:rsidRDefault="001B6C3B" w:rsidP="00F734BA">
      <w:pPr>
        <w:spacing w:line="240" w:lineRule="auto"/>
        <w:ind w:left="4962"/>
        <w:contextualSpacing/>
        <w:jc w:val="both"/>
        <w:rPr>
          <w:rFonts w:ascii="Times New Roman" w:hAnsi="Times New Roman" w:cs="Times New Roman"/>
          <w:sz w:val="24"/>
          <w:szCs w:val="24"/>
        </w:rPr>
      </w:pPr>
      <w:r>
        <w:rPr>
          <w:rFonts w:ascii="Times New Roman" w:hAnsi="Times New Roman" w:cs="Times New Roman"/>
          <w:sz w:val="24"/>
          <w:szCs w:val="24"/>
        </w:rPr>
        <w:t>Российская Федерация, г. Краснодар</w:t>
      </w:r>
    </w:p>
    <w:p w14:paraId="6DACF6D7" w14:textId="77777777" w:rsidR="001B6C3B" w:rsidRDefault="001B6C3B" w:rsidP="00F734BA">
      <w:pPr>
        <w:spacing w:line="240" w:lineRule="auto"/>
        <w:ind w:left="4962"/>
        <w:contextualSpacing/>
        <w:jc w:val="both"/>
        <w:rPr>
          <w:rFonts w:ascii="Times New Roman" w:hAnsi="Times New Roman" w:cs="Times New Roman"/>
          <w:sz w:val="24"/>
          <w:szCs w:val="24"/>
        </w:rPr>
      </w:pPr>
      <w:r>
        <w:rPr>
          <w:rFonts w:ascii="Times New Roman" w:hAnsi="Times New Roman" w:cs="Times New Roman"/>
          <w:sz w:val="24"/>
          <w:szCs w:val="24"/>
        </w:rPr>
        <w:t>Russian Federation, Krasnodar</w:t>
      </w:r>
    </w:p>
    <w:p w14:paraId="1F868F91" w14:textId="77777777" w:rsidR="001B6C3B" w:rsidRDefault="001B6C3B" w:rsidP="00F734BA">
      <w:pPr>
        <w:spacing w:line="240" w:lineRule="auto"/>
        <w:ind w:left="4962"/>
        <w:contextualSpacing/>
        <w:jc w:val="both"/>
        <w:rPr>
          <w:rFonts w:ascii="Times New Roman" w:hAnsi="Times New Roman" w:cs="Times New Roman"/>
          <w:sz w:val="24"/>
          <w:szCs w:val="24"/>
        </w:rPr>
      </w:pPr>
      <w:r>
        <w:rPr>
          <w:rFonts w:ascii="Times New Roman" w:hAnsi="Times New Roman" w:cs="Times New Roman"/>
          <w:sz w:val="24"/>
          <w:szCs w:val="24"/>
          <w:lang w:val="en-US"/>
        </w:rPr>
        <w:t>egor</w:t>
      </w:r>
      <w:r>
        <w:rPr>
          <w:rFonts w:ascii="Times New Roman" w:hAnsi="Times New Roman" w:cs="Times New Roman"/>
          <w:sz w:val="24"/>
          <w:szCs w:val="24"/>
        </w:rPr>
        <w:t>.</w:t>
      </w:r>
      <w:r>
        <w:rPr>
          <w:rFonts w:ascii="Times New Roman" w:hAnsi="Times New Roman" w:cs="Times New Roman"/>
          <w:sz w:val="24"/>
          <w:szCs w:val="24"/>
          <w:lang w:val="en-US"/>
        </w:rPr>
        <w:t>dzhadan</w:t>
      </w:r>
      <w:r>
        <w:rPr>
          <w:rFonts w:ascii="Times New Roman" w:hAnsi="Times New Roman" w:cs="Times New Roman"/>
          <w:sz w:val="24"/>
          <w:szCs w:val="24"/>
        </w:rPr>
        <w:t>.1997@</w:t>
      </w:r>
      <w:r>
        <w:rPr>
          <w:rFonts w:ascii="Times New Roman" w:hAnsi="Times New Roman" w:cs="Times New Roman"/>
          <w:sz w:val="24"/>
          <w:szCs w:val="24"/>
          <w:lang w:val="en-US"/>
        </w:rPr>
        <w:t>gmail</w:t>
      </w:r>
      <w:r>
        <w:rPr>
          <w:rFonts w:ascii="Times New Roman" w:hAnsi="Times New Roman" w:cs="Times New Roman"/>
          <w:sz w:val="24"/>
          <w:szCs w:val="24"/>
        </w:rPr>
        <w:t>.</w:t>
      </w:r>
      <w:r>
        <w:rPr>
          <w:rFonts w:ascii="Times New Roman" w:hAnsi="Times New Roman" w:cs="Times New Roman"/>
          <w:sz w:val="24"/>
          <w:szCs w:val="24"/>
          <w:lang w:val="en-US"/>
        </w:rPr>
        <w:t>com</w:t>
      </w:r>
    </w:p>
    <w:p w14:paraId="083E7217" w14:textId="77777777" w:rsidR="001B6C3B" w:rsidRDefault="001B6C3B" w:rsidP="00F734BA">
      <w:pPr>
        <w:spacing w:line="240" w:lineRule="auto"/>
        <w:ind w:left="4962"/>
        <w:contextualSpacing/>
        <w:jc w:val="both"/>
        <w:rPr>
          <w:rFonts w:ascii="Times New Roman" w:hAnsi="Times New Roman" w:cs="Times New Roman"/>
          <w:sz w:val="24"/>
          <w:szCs w:val="24"/>
        </w:rPr>
      </w:pPr>
      <w:r>
        <w:rPr>
          <w:rFonts w:ascii="Times New Roman" w:hAnsi="Times New Roman" w:cs="Times New Roman"/>
          <w:sz w:val="24"/>
          <w:szCs w:val="24"/>
        </w:rPr>
        <w:t>Научный руководитель:</w:t>
      </w:r>
    </w:p>
    <w:p w14:paraId="5EAB899C" w14:textId="77777777" w:rsidR="001B6C3B" w:rsidRDefault="001B6C3B" w:rsidP="00F734BA">
      <w:pPr>
        <w:spacing w:line="240" w:lineRule="auto"/>
        <w:ind w:left="4962"/>
        <w:contextualSpacing/>
        <w:jc w:val="both"/>
        <w:rPr>
          <w:rFonts w:ascii="Times New Roman" w:hAnsi="Times New Roman" w:cs="Times New Roman"/>
          <w:sz w:val="24"/>
          <w:szCs w:val="24"/>
        </w:rPr>
      </w:pPr>
      <w:r>
        <w:rPr>
          <w:rFonts w:ascii="Times New Roman" w:hAnsi="Times New Roman" w:cs="Times New Roman"/>
          <w:sz w:val="24"/>
          <w:szCs w:val="24"/>
        </w:rPr>
        <w:t>Камышанский Владимир Павлович, д.ю.н., профессор</w:t>
      </w:r>
    </w:p>
    <w:p w14:paraId="75CB1AC8" w14:textId="77777777" w:rsidR="001B6C3B" w:rsidRDefault="001B6C3B" w:rsidP="001B6C3B">
      <w:pPr>
        <w:spacing w:line="240" w:lineRule="auto"/>
        <w:jc w:val="center"/>
        <w:rPr>
          <w:rFonts w:ascii="Times New Roman" w:hAnsi="Times New Roman" w:cs="Times New Roman"/>
          <w:b/>
          <w:sz w:val="24"/>
          <w:szCs w:val="24"/>
        </w:rPr>
      </w:pPr>
    </w:p>
    <w:p w14:paraId="0BCF6731" w14:textId="77777777" w:rsidR="001B6C3B" w:rsidRDefault="001B6C3B" w:rsidP="001B6C3B">
      <w:pPr>
        <w:spacing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ОГРАНИЧЕННЫЕ ВЕЩНЫЕ ПРАВА НА ЗЕМЕЛЬНЫЕ УЧАСТКИ: </w:t>
      </w:r>
    </w:p>
    <w:p w14:paraId="2EB67215" w14:textId="77777777" w:rsidR="001B6C3B" w:rsidRDefault="001B6C3B" w:rsidP="001B6C3B">
      <w:pPr>
        <w:spacing w:line="240" w:lineRule="auto"/>
        <w:jc w:val="center"/>
        <w:rPr>
          <w:rFonts w:ascii="Times New Roman" w:hAnsi="Times New Roman" w:cs="Times New Roman"/>
          <w:b/>
          <w:sz w:val="24"/>
          <w:szCs w:val="24"/>
          <w:lang w:val="en-US"/>
        </w:rPr>
      </w:pPr>
      <w:r>
        <w:rPr>
          <w:rFonts w:ascii="Times New Roman" w:hAnsi="Times New Roman" w:cs="Times New Roman"/>
          <w:b/>
          <w:sz w:val="24"/>
          <w:szCs w:val="24"/>
        </w:rPr>
        <w:t>ПРОБЛЕМЫ</w:t>
      </w:r>
      <w:r>
        <w:rPr>
          <w:rFonts w:ascii="Times New Roman" w:hAnsi="Times New Roman" w:cs="Times New Roman"/>
          <w:b/>
          <w:sz w:val="24"/>
          <w:szCs w:val="24"/>
          <w:lang w:val="en-US"/>
        </w:rPr>
        <w:t xml:space="preserve"> </w:t>
      </w:r>
      <w:r>
        <w:rPr>
          <w:rFonts w:ascii="Times New Roman" w:hAnsi="Times New Roman" w:cs="Times New Roman"/>
          <w:b/>
          <w:sz w:val="24"/>
          <w:szCs w:val="24"/>
        </w:rPr>
        <w:t>ЗАКОНОДАТЕЛЬНОЙ</w:t>
      </w:r>
      <w:r>
        <w:rPr>
          <w:rFonts w:ascii="Times New Roman" w:hAnsi="Times New Roman" w:cs="Times New Roman"/>
          <w:b/>
          <w:sz w:val="24"/>
          <w:szCs w:val="24"/>
          <w:lang w:val="en-US"/>
        </w:rPr>
        <w:t xml:space="preserve"> </w:t>
      </w:r>
      <w:r>
        <w:rPr>
          <w:rFonts w:ascii="Times New Roman" w:hAnsi="Times New Roman" w:cs="Times New Roman"/>
          <w:b/>
          <w:sz w:val="24"/>
          <w:szCs w:val="24"/>
        </w:rPr>
        <w:t>РЕГЛАМЕНТАЦИИ</w:t>
      </w:r>
      <w:r>
        <w:rPr>
          <w:rFonts w:ascii="Times New Roman" w:hAnsi="Times New Roman" w:cs="Times New Roman"/>
          <w:b/>
          <w:sz w:val="24"/>
          <w:szCs w:val="24"/>
          <w:lang w:val="en-US"/>
        </w:rPr>
        <w:t xml:space="preserve"> </w:t>
      </w:r>
    </w:p>
    <w:p w14:paraId="28435AB5" w14:textId="77777777" w:rsidR="001B6C3B" w:rsidRDefault="001B6C3B" w:rsidP="001B6C3B">
      <w:pPr>
        <w:spacing w:line="240" w:lineRule="auto"/>
        <w:jc w:val="center"/>
        <w:rPr>
          <w:rFonts w:ascii="Times New Roman" w:hAnsi="Times New Roman" w:cs="Times New Roman"/>
          <w:b/>
          <w:sz w:val="24"/>
          <w:szCs w:val="24"/>
          <w:lang w:val="en-US"/>
        </w:rPr>
      </w:pPr>
    </w:p>
    <w:p w14:paraId="3AFBABBE" w14:textId="77777777" w:rsidR="001B6C3B" w:rsidRDefault="001B6C3B" w:rsidP="001B6C3B">
      <w:pPr>
        <w:spacing w:line="240" w:lineRule="auto"/>
        <w:jc w:val="center"/>
        <w:rPr>
          <w:rFonts w:ascii="Times New Roman" w:hAnsi="Times New Roman" w:cs="Times New Roman"/>
          <w:b/>
          <w:sz w:val="24"/>
          <w:szCs w:val="24"/>
          <w:lang w:val="en-US"/>
        </w:rPr>
      </w:pPr>
      <w:r>
        <w:rPr>
          <w:rFonts w:ascii="Times New Roman" w:hAnsi="Times New Roman" w:cs="Times New Roman"/>
          <w:b/>
          <w:sz w:val="24"/>
          <w:szCs w:val="24"/>
          <w:lang w:val="en-US"/>
        </w:rPr>
        <w:t>LIMITED ESTIMATED RIGHTS TO LAND PLOTS:</w:t>
      </w:r>
    </w:p>
    <w:p w14:paraId="63F877A1" w14:textId="77777777" w:rsidR="001B6C3B" w:rsidRDefault="001B6C3B" w:rsidP="001B6C3B">
      <w:pPr>
        <w:spacing w:line="240" w:lineRule="auto"/>
        <w:jc w:val="center"/>
        <w:rPr>
          <w:rFonts w:ascii="Times New Roman" w:hAnsi="Times New Roman" w:cs="Times New Roman"/>
          <w:b/>
          <w:sz w:val="24"/>
          <w:szCs w:val="24"/>
          <w:lang w:val="en-US"/>
        </w:rPr>
      </w:pPr>
      <w:r>
        <w:rPr>
          <w:rFonts w:ascii="Times New Roman" w:hAnsi="Times New Roman" w:cs="Times New Roman"/>
          <w:b/>
          <w:sz w:val="24"/>
          <w:szCs w:val="24"/>
          <w:lang w:val="en-US"/>
        </w:rPr>
        <w:t>PROBLEMS OF LEGISLATIVE REGULATION</w:t>
      </w:r>
    </w:p>
    <w:p w14:paraId="4E125300" w14:textId="77777777" w:rsidR="001B6C3B" w:rsidRDefault="001B6C3B" w:rsidP="001B6C3B">
      <w:pPr>
        <w:spacing w:line="240" w:lineRule="auto"/>
        <w:ind w:firstLine="709"/>
        <w:jc w:val="both"/>
        <w:rPr>
          <w:rFonts w:ascii="Times New Roman" w:hAnsi="Times New Roman" w:cs="Times New Roman"/>
          <w:sz w:val="24"/>
          <w:szCs w:val="24"/>
          <w:lang w:val="en-US"/>
        </w:rPr>
      </w:pPr>
    </w:p>
    <w:p w14:paraId="3006F5FA" w14:textId="77777777" w:rsidR="001B6C3B" w:rsidRDefault="001B6C3B" w:rsidP="001B6C3B">
      <w:pPr>
        <w:spacing w:line="240" w:lineRule="auto"/>
        <w:ind w:firstLine="709"/>
        <w:jc w:val="both"/>
        <w:rPr>
          <w:rFonts w:ascii="Times New Roman" w:hAnsi="Times New Roman" w:cs="Times New Roman"/>
          <w:sz w:val="24"/>
          <w:szCs w:val="24"/>
        </w:rPr>
      </w:pPr>
      <w:r>
        <w:rPr>
          <w:rFonts w:ascii="Times New Roman" w:hAnsi="Times New Roman" w:cs="Times New Roman"/>
          <w:i/>
          <w:sz w:val="24"/>
          <w:szCs w:val="24"/>
        </w:rPr>
        <w:t>Аннотация</w:t>
      </w:r>
      <w:r>
        <w:rPr>
          <w:rFonts w:ascii="Times New Roman" w:hAnsi="Times New Roman" w:cs="Times New Roman"/>
          <w:sz w:val="24"/>
          <w:szCs w:val="24"/>
        </w:rPr>
        <w:t>: В статье рассматриваются актуальные проблемы нормативного закрепления ограниченных вещных прав на земельные участки в российском гражданском и земельном законодательстве. Автором изучены сформулированные в рамках цивилистической доктрины подходы в вещно-правовой сфере, а также материалы правоприменительной практики по разрешению споров по поводу ограниченных вещных прав на земельные участки. Предложены пути совершенствования законодательства в части регулирования ограниченных вещных прав на земельные участки.</w:t>
      </w:r>
    </w:p>
    <w:p w14:paraId="16173C88" w14:textId="77777777" w:rsidR="001B6C3B" w:rsidRDefault="001B6C3B" w:rsidP="001B6C3B">
      <w:pPr>
        <w:spacing w:line="240" w:lineRule="auto"/>
        <w:ind w:firstLine="709"/>
        <w:jc w:val="both"/>
        <w:rPr>
          <w:rFonts w:ascii="Times New Roman" w:hAnsi="Times New Roman" w:cs="Times New Roman"/>
          <w:sz w:val="24"/>
          <w:szCs w:val="24"/>
        </w:rPr>
      </w:pPr>
      <w:r>
        <w:rPr>
          <w:rFonts w:ascii="Times New Roman" w:hAnsi="Times New Roman" w:cs="Times New Roman"/>
          <w:i/>
          <w:sz w:val="24"/>
          <w:szCs w:val="24"/>
        </w:rPr>
        <w:t>Ключевые слова</w:t>
      </w:r>
      <w:r>
        <w:rPr>
          <w:rFonts w:ascii="Times New Roman" w:hAnsi="Times New Roman" w:cs="Times New Roman"/>
          <w:sz w:val="24"/>
          <w:szCs w:val="24"/>
        </w:rPr>
        <w:t>: ограниченные вещные права; земельный участок; право пожизненного наследуемого владения; право постоянного (бессрочного) пользования; межотраслевое регулирование; отрицательный сервитут.</w:t>
      </w:r>
    </w:p>
    <w:p w14:paraId="1479F68A" w14:textId="77777777" w:rsidR="001B6C3B" w:rsidRDefault="001B6C3B" w:rsidP="001B6C3B">
      <w:pPr>
        <w:spacing w:line="240" w:lineRule="auto"/>
        <w:ind w:firstLine="709"/>
        <w:jc w:val="both"/>
        <w:rPr>
          <w:rFonts w:ascii="Times New Roman" w:hAnsi="Times New Roman" w:cs="Times New Roman"/>
          <w:sz w:val="24"/>
          <w:szCs w:val="24"/>
          <w:lang w:val="en-US"/>
        </w:rPr>
      </w:pPr>
      <w:r>
        <w:rPr>
          <w:rFonts w:ascii="Times New Roman" w:hAnsi="Times New Roman" w:cs="Times New Roman"/>
          <w:i/>
          <w:sz w:val="24"/>
          <w:szCs w:val="24"/>
        </w:rPr>
        <w:t>А</w:t>
      </w:r>
      <w:r>
        <w:rPr>
          <w:rFonts w:ascii="Times New Roman" w:hAnsi="Times New Roman" w:cs="Times New Roman"/>
          <w:i/>
          <w:sz w:val="24"/>
          <w:szCs w:val="24"/>
          <w:lang w:val="en-US"/>
        </w:rPr>
        <w:t>nnotation</w:t>
      </w:r>
      <w:r>
        <w:rPr>
          <w:rFonts w:ascii="Times New Roman" w:hAnsi="Times New Roman" w:cs="Times New Roman"/>
          <w:sz w:val="24"/>
          <w:szCs w:val="24"/>
          <w:lang w:val="en-US"/>
        </w:rPr>
        <w:t>:</w:t>
      </w:r>
      <w:r>
        <w:rPr>
          <w:rFonts w:ascii="Times New Roman" w:hAnsi="Times New Roman" w:cs="Times New Roman"/>
          <w:lang w:val="en-US"/>
        </w:rPr>
        <w:t xml:space="preserve"> </w:t>
      </w:r>
      <w:r>
        <w:rPr>
          <w:rFonts w:ascii="Times New Roman" w:hAnsi="Times New Roman" w:cs="Times New Roman"/>
          <w:sz w:val="24"/>
          <w:szCs w:val="24"/>
          <w:lang w:val="en-US"/>
        </w:rPr>
        <w:t>The article discusses the current problems of normative consolidation of limited property rights to land plots in the Russian civil and land legislation. The author has studied the approaches formulated in the framework of the civilist doctrine in the legal field, as well as materials of law enforcement practice to resolve disputes over limited property rights to land plots. Ways are proposed to improve civil legislation regarding the regulation of limited property rights to land plots.</w:t>
      </w:r>
    </w:p>
    <w:p w14:paraId="25F3CA66" w14:textId="77777777" w:rsidR="001B6C3B" w:rsidRDefault="001B6C3B" w:rsidP="001B6C3B">
      <w:pPr>
        <w:spacing w:line="240" w:lineRule="auto"/>
        <w:ind w:firstLine="709"/>
        <w:jc w:val="both"/>
        <w:rPr>
          <w:rFonts w:ascii="Times New Roman" w:hAnsi="Times New Roman" w:cs="Times New Roman"/>
          <w:sz w:val="24"/>
          <w:szCs w:val="24"/>
          <w:lang w:val="en-US"/>
        </w:rPr>
      </w:pPr>
      <w:r>
        <w:rPr>
          <w:rFonts w:ascii="Times New Roman" w:hAnsi="Times New Roman" w:cs="Times New Roman"/>
          <w:i/>
          <w:sz w:val="24"/>
          <w:szCs w:val="24"/>
          <w:lang w:val="en-US"/>
        </w:rPr>
        <w:t>Keywords</w:t>
      </w:r>
      <w:r>
        <w:rPr>
          <w:rFonts w:ascii="Times New Roman" w:hAnsi="Times New Roman" w:cs="Times New Roman"/>
          <w:sz w:val="24"/>
          <w:szCs w:val="24"/>
          <w:lang w:val="en-US"/>
        </w:rPr>
        <w:t>: limited property rights; land plot; inheritable tenure right; the right of permanent (unlimited) use; intersectoral regulation; negative easement.</w:t>
      </w:r>
    </w:p>
    <w:p w14:paraId="14A882B9" w14:textId="77777777" w:rsidR="001B6C3B" w:rsidRDefault="001B6C3B" w:rsidP="001B6C3B">
      <w:pPr>
        <w:spacing w:line="240" w:lineRule="auto"/>
        <w:ind w:firstLine="709"/>
        <w:jc w:val="both"/>
        <w:rPr>
          <w:rFonts w:ascii="Times New Roman" w:hAnsi="Times New Roman" w:cs="Times New Roman"/>
          <w:sz w:val="24"/>
          <w:szCs w:val="24"/>
          <w:lang w:val="en-US"/>
        </w:rPr>
      </w:pPr>
    </w:p>
    <w:p w14:paraId="1FABBA9E" w14:textId="77777777" w:rsidR="001B6C3B" w:rsidRDefault="001B6C3B" w:rsidP="001B6C3B">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Фундаментальное значение в системе вещного права имеет право собственности. Только собственник вещи способен владеть, пользоваться и распоряжаться ею по своему усмотрению в наиболее полном объеме. Однако в рамках гражданского оборота часто возникает объективная необходимость использовать полезные свойства вещи, принадлежащей на праве собственности другому лицу. Для удовлетворения таких потребностей существует специальная категория ограниченных вещных прав.</w:t>
      </w:r>
    </w:p>
    <w:p w14:paraId="1A22F6D9" w14:textId="77777777" w:rsidR="001B6C3B" w:rsidRDefault="001B6C3B" w:rsidP="001B6C3B">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В современном российском законодательстве данные права именуются вещными правами лиц, не являющихся собственниками. Их перечень содержится в пункте 1 статьи 216 Гражданского кодекса Российской Федерации (далее – ГК РФ)</w:t>
      </w:r>
      <w:r>
        <w:rPr>
          <w:rStyle w:val="a7"/>
          <w:rFonts w:ascii="Times New Roman" w:hAnsi="Times New Roman" w:cs="Times New Roman"/>
          <w:sz w:val="24"/>
          <w:szCs w:val="24"/>
        </w:rPr>
        <w:footnoteReference w:id="140"/>
      </w:r>
      <w:r>
        <w:rPr>
          <w:rFonts w:ascii="Times New Roman" w:hAnsi="Times New Roman" w:cs="Times New Roman"/>
          <w:sz w:val="24"/>
          <w:szCs w:val="24"/>
        </w:rPr>
        <w:t>:</w:t>
      </w:r>
    </w:p>
    <w:p w14:paraId="4A64A631" w14:textId="77777777" w:rsidR="001B6C3B" w:rsidRDefault="001B6C3B" w:rsidP="001B6C3B">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право пожизненного наследуемого владения земельным участком;</w:t>
      </w:r>
    </w:p>
    <w:p w14:paraId="12488AF5" w14:textId="77777777" w:rsidR="001B6C3B" w:rsidRDefault="001B6C3B" w:rsidP="001B6C3B">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право постоянного (бессрочного) пользования земельным участком;</w:t>
      </w:r>
    </w:p>
    <w:p w14:paraId="040794BA" w14:textId="77777777" w:rsidR="001B6C3B" w:rsidRDefault="001B6C3B" w:rsidP="001B6C3B">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сервитуты;</w:t>
      </w:r>
    </w:p>
    <w:p w14:paraId="31E14E21" w14:textId="77777777" w:rsidR="001B6C3B" w:rsidRDefault="001B6C3B" w:rsidP="001B6C3B">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право хозяйственного ведения имуществом и право оперативного управления имуществом.</w:t>
      </w:r>
    </w:p>
    <w:p w14:paraId="04BBA1F4" w14:textId="48A52A3A" w:rsidR="00C446B3" w:rsidRDefault="001B6C3B" w:rsidP="001B6C3B">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рамках настоящего исследования рассматриваются проблемные аспекты тех из перечисленных правовых конструкций, предметом которых являются земельные участки. К ним относятся право пожизненного наследуемого владения, право постоянного (бессрочного) пользования и сервитуты. </w:t>
      </w:r>
      <w:r w:rsidR="00C446B3">
        <w:rPr>
          <w:rFonts w:ascii="Times New Roman" w:hAnsi="Times New Roman" w:cs="Times New Roman"/>
          <w:sz w:val="24"/>
          <w:szCs w:val="24"/>
        </w:rPr>
        <w:t>Вместе с тем, есть ограничения прав на определенные земельные участки, в частности на земельные участки континентального шельфа</w:t>
      </w:r>
      <w:r w:rsidR="00C446B3">
        <w:rPr>
          <w:rStyle w:val="a7"/>
          <w:rFonts w:ascii="Times New Roman" w:hAnsi="Times New Roman" w:cs="Times New Roman"/>
          <w:sz w:val="24"/>
          <w:szCs w:val="24"/>
        </w:rPr>
        <w:footnoteReference w:id="141"/>
      </w:r>
      <w:r w:rsidR="00C446B3">
        <w:rPr>
          <w:rFonts w:ascii="Times New Roman" w:hAnsi="Times New Roman" w:cs="Times New Roman"/>
          <w:sz w:val="24"/>
          <w:szCs w:val="24"/>
        </w:rPr>
        <w:t>.</w:t>
      </w:r>
    </w:p>
    <w:p w14:paraId="2B7F286C" w14:textId="610E82C5" w:rsidR="001B6C3B" w:rsidRDefault="001B6C3B" w:rsidP="001B6C3B">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Однако перед изучением дискуссионных вопросов правового регулирования и практической реализации указанных ограниченных вещных прав следует уделить внимание более системной проблеме законодательной регламентации перечня прав лиц, не являющихся собственниками. </w:t>
      </w:r>
    </w:p>
    <w:p w14:paraId="483E884E" w14:textId="77777777" w:rsidR="001B6C3B" w:rsidRDefault="001B6C3B" w:rsidP="001B6C3B">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В юридической науке отсутствует единое мнение о том, является ли данный перечень исчерпывающим и допустимо ли признавать в качестве вещных права, не поименованные в п. 1 ст. 216 ГК РФ. Так, Е.А. Суханов неотъемлемым признаком ограниченного вещного права считает факт его отнесения законодателем к названному перечню. Ученый свою позицию аргументирует необходимостью единого понимания содержания и видов вещных прав, а также их отграничения от обязательственно-правовых конструкций</w:t>
      </w:r>
      <w:r>
        <w:rPr>
          <w:rStyle w:val="a7"/>
          <w:rFonts w:ascii="Times New Roman" w:hAnsi="Times New Roman" w:cs="Times New Roman"/>
          <w:sz w:val="24"/>
          <w:szCs w:val="24"/>
        </w:rPr>
        <w:footnoteReference w:id="142"/>
      </w:r>
      <w:r>
        <w:rPr>
          <w:rFonts w:ascii="Times New Roman" w:hAnsi="Times New Roman" w:cs="Times New Roman"/>
          <w:sz w:val="24"/>
          <w:szCs w:val="24"/>
        </w:rPr>
        <w:t xml:space="preserve">. </w:t>
      </w:r>
    </w:p>
    <w:p w14:paraId="220006B5" w14:textId="77777777" w:rsidR="001B6C3B" w:rsidRDefault="001B6C3B" w:rsidP="001B6C3B">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В то же время в гражданско-правовой доктрине высказываются мнения о допустимости отнесения к числу вещных и таких прав, которые не указаны в п. 1 ст. 216 ГК РФ</w:t>
      </w:r>
      <w:r>
        <w:rPr>
          <w:rStyle w:val="a7"/>
          <w:rFonts w:ascii="Times New Roman" w:hAnsi="Times New Roman" w:cs="Times New Roman"/>
          <w:sz w:val="24"/>
          <w:szCs w:val="24"/>
        </w:rPr>
        <w:footnoteReference w:id="143"/>
      </w:r>
      <w:r>
        <w:rPr>
          <w:rFonts w:ascii="Times New Roman" w:hAnsi="Times New Roman" w:cs="Times New Roman"/>
          <w:sz w:val="24"/>
          <w:szCs w:val="24"/>
        </w:rPr>
        <w:t>. Данная точка зрения имеет под собой определенные основания. Так, толкование формулировки рассматриваемого пункта, в первую очередь содержащейся в нем оговорки «в частности», позволяет сделать вывод о том, что, помимо перечисленных в п. 1 ст. 216 ГК РФ, могут существовать и иные ограниченные вещные права.</w:t>
      </w:r>
    </w:p>
    <w:p w14:paraId="760E1695" w14:textId="77777777" w:rsidR="001B6C3B" w:rsidRDefault="001B6C3B" w:rsidP="001B6C3B">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рамках данной дискуссии большой интерес представляет предложение З.А. Ахметьяновой. Исследователь считает нецелесообразным перечисление в Гражданском кодексе РФ ограниченных вещных прав. Альтернативным вариантом, по мнению ученого, </w:t>
      </w:r>
      <w:r>
        <w:rPr>
          <w:rFonts w:ascii="Times New Roman" w:hAnsi="Times New Roman" w:cs="Times New Roman"/>
          <w:sz w:val="24"/>
          <w:szCs w:val="24"/>
        </w:rPr>
        <w:lastRenderedPageBreak/>
        <w:t>является законодательное закрепление понятия и признаков субъективного вещного права. Признание за конкретным имущественным правом вещно-правовой природы происходит посредством его соотнесения с нормативно установленными понятием и признаками</w:t>
      </w:r>
      <w:r>
        <w:rPr>
          <w:rStyle w:val="a7"/>
          <w:rFonts w:ascii="Times New Roman" w:hAnsi="Times New Roman" w:cs="Times New Roman"/>
          <w:sz w:val="24"/>
          <w:szCs w:val="24"/>
        </w:rPr>
        <w:footnoteReference w:id="144"/>
      </w:r>
      <w:r>
        <w:rPr>
          <w:rFonts w:ascii="Times New Roman" w:hAnsi="Times New Roman" w:cs="Times New Roman"/>
          <w:sz w:val="24"/>
          <w:szCs w:val="24"/>
        </w:rPr>
        <w:t>.</w:t>
      </w:r>
    </w:p>
    <w:p w14:paraId="15854140" w14:textId="77777777" w:rsidR="001B6C3B" w:rsidRDefault="001B6C3B" w:rsidP="001B6C3B">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Неоднозначно решается рассматриваемый вопрос и в процессе правоприменительной деятельности. Так, Верховный Суд РФ пришел к выводу о недопустимости распространения права хозяйственного ведения в отношении земельного участка в том случае, когда унитарному предприятию на таком праве принадлежат расположенные на земельном участке здания. Позиция суда была аргументирована указанием на то, что «статьей 216 Гражданского кодекса установлен принцип закрытого перечня вещных прав»</w:t>
      </w:r>
      <w:r>
        <w:rPr>
          <w:rStyle w:val="a7"/>
          <w:rFonts w:ascii="Times New Roman" w:hAnsi="Times New Roman" w:cs="Times New Roman"/>
          <w:sz w:val="24"/>
          <w:szCs w:val="24"/>
        </w:rPr>
        <w:footnoteReference w:id="145"/>
      </w:r>
      <w:r>
        <w:rPr>
          <w:rFonts w:ascii="Times New Roman" w:hAnsi="Times New Roman" w:cs="Times New Roman"/>
          <w:sz w:val="24"/>
          <w:szCs w:val="24"/>
        </w:rPr>
        <w:t>. Несколько иным образом Семнадцатый арбитражный апелляционный суд мотивировал отказ признать за правом застройки вещно-правовую природу. Данный вывод был сделан не по причине закрытого характера перечня прав лиц, не являющихся собственниками, но в связи с тем, что праву застройки, по мнению суда, не присущи признаки субъективного вещного права</w:t>
      </w:r>
      <w:r>
        <w:rPr>
          <w:rStyle w:val="a7"/>
          <w:rFonts w:ascii="Times New Roman" w:hAnsi="Times New Roman" w:cs="Times New Roman"/>
          <w:sz w:val="24"/>
          <w:szCs w:val="24"/>
        </w:rPr>
        <w:footnoteReference w:id="146"/>
      </w:r>
      <w:r>
        <w:rPr>
          <w:rFonts w:ascii="Times New Roman" w:hAnsi="Times New Roman" w:cs="Times New Roman"/>
          <w:sz w:val="24"/>
          <w:szCs w:val="24"/>
        </w:rPr>
        <w:t>. Таким образом, отсутствие четкого нормативного регулирования рассматриваемого вопроса становится причиной разночтений правоприменителя.</w:t>
      </w:r>
    </w:p>
    <w:p w14:paraId="3424F61D" w14:textId="77777777" w:rsidR="001B6C3B" w:rsidRDefault="001B6C3B" w:rsidP="001B6C3B">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На наш взгляд, в условиях российской правовой действительности наиболее эффективной моделью регламентации системы ограниченных вещных прав выступает модель законодательного установления их исчерпывающего перечня. Такой подход будет способствовать единству понимания системы вещных прав, а значит, положительно отразится на правоприменительной деятельности и облегчит субъектам гражданских прав решение вопроса о выборе способов защиты в случае нарушения. В этой связи считаем необходимым изменить формулировку п. 1 ст. 216 ГК РФ посредством исключения оговорки «в частности».</w:t>
      </w:r>
    </w:p>
    <w:p w14:paraId="0902836A" w14:textId="77777777" w:rsidR="001B6C3B" w:rsidRDefault="001B6C3B" w:rsidP="001B6C3B">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Придерживаясь позиции о необходимости исчерпывающего формального указания вещных прав в гражданском законодательстве, считаем справедливыми утверждения ученых о недостаточности действующего перечня прав лиц, не являющихся собственниками. Активное развитие российской экономики и гражданского оборота требуют совершенствования подходов в вещно-правовой сфере. </w:t>
      </w:r>
    </w:p>
    <w:p w14:paraId="40783AEC" w14:textId="77777777" w:rsidR="001B6C3B" w:rsidRDefault="001B6C3B" w:rsidP="001B6C3B">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Так, в юридической науке существуют предложения по дополнению действующего перечня ограниченных вещных прав такими правовыми конструкциями, как узуфрукт, право вещных выдач, преимущественное право приобретения чужой вещи и другими</w:t>
      </w:r>
      <w:r>
        <w:rPr>
          <w:rStyle w:val="a7"/>
          <w:rFonts w:ascii="Times New Roman" w:hAnsi="Times New Roman" w:cs="Times New Roman"/>
          <w:sz w:val="24"/>
          <w:szCs w:val="24"/>
        </w:rPr>
        <w:footnoteReference w:id="147"/>
      </w:r>
      <w:r>
        <w:rPr>
          <w:rFonts w:ascii="Times New Roman" w:hAnsi="Times New Roman" w:cs="Times New Roman"/>
          <w:sz w:val="24"/>
          <w:szCs w:val="24"/>
        </w:rPr>
        <w:t>. Приоритетным направлением государственной политики в настоящее время является развитие отрасли сельского хозяйства. В этой связи особую актуальность приобретает эмфитевзис, то есть бессрочное или долгосрочное право владения и пользования чужим земельным участком за плату с извлечением из него плодов и доходов, поступающих в собственность обладателя вещного права, которое может переходить в порядке сингулярного и универсального правопреемства</w:t>
      </w:r>
      <w:r>
        <w:rPr>
          <w:rStyle w:val="a7"/>
          <w:rFonts w:ascii="Times New Roman" w:hAnsi="Times New Roman" w:cs="Times New Roman"/>
          <w:sz w:val="24"/>
          <w:szCs w:val="24"/>
        </w:rPr>
        <w:footnoteReference w:id="148"/>
      </w:r>
      <w:r>
        <w:rPr>
          <w:rFonts w:ascii="Times New Roman" w:hAnsi="Times New Roman" w:cs="Times New Roman"/>
          <w:sz w:val="24"/>
          <w:szCs w:val="24"/>
        </w:rPr>
        <w:t>. Предложения по отнесению этих и других прав к числу вещных нашли отражение в Концепции совершенствования гражданского законодательства РФ</w:t>
      </w:r>
      <w:r>
        <w:rPr>
          <w:rStyle w:val="a7"/>
          <w:rFonts w:ascii="Times New Roman" w:hAnsi="Times New Roman" w:cs="Times New Roman"/>
          <w:sz w:val="24"/>
          <w:szCs w:val="24"/>
        </w:rPr>
        <w:footnoteReference w:id="149"/>
      </w:r>
      <w:r>
        <w:rPr>
          <w:rFonts w:ascii="Times New Roman" w:hAnsi="Times New Roman" w:cs="Times New Roman"/>
          <w:sz w:val="24"/>
          <w:szCs w:val="24"/>
        </w:rPr>
        <w:t>.</w:t>
      </w:r>
    </w:p>
    <w:p w14:paraId="5F79392A" w14:textId="77777777" w:rsidR="001B6C3B" w:rsidRDefault="001B6C3B" w:rsidP="001B6C3B">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 xml:space="preserve">Теперь перейдем к рассмотрению проблемных аспектов нормативной регламентации и практического применения перечисленных в п. 1 ст. 216 ГК РФ ограниченных вещных прав на земельные участки: права пожизненного наследуемого владения, постоянного (бессрочного) пользования и сервитутов. Существование в российском законодательстве таких правовых конструкций, как право пожизненного наследуемого владения и право постоянного (бессрочного) пользования земельным участком, изначально было обусловлено необходимостью предоставления частным лицам земли, находящейся в исключительной собственности государства. Принятие Конституции РФ 1993 года и легализация института частной собственности, в том числе и на землю, предопределили постепенный отказ от использования указанных вещных прав в пользу универсального права собственности. </w:t>
      </w:r>
    </w:p>
    <w:p w14:paraId="4892DA65" w14:textId="77777777" w:rsidR="001B6C3B" w:rsidRDefault="001B6C3B" w:rsidP="001B6C3B">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Одним из наиболее проблемных в части законодательной регламентации права пожизненного наследуемого владения является вопрос оснований возникновения указанного права. Так, бланкетная норма ст. 265 ГК РФ гласит, что основания приобретения права пожизненного наследуемого владения земельным участком должны определяться земельным законодательством. Земельным кодексом Российской Федерации (далее – ЗК РФ) в части 1 статьи 21 было прекращено предоставление земельных участков на праве пожизненного наследуемого владения, однако в связи с изменениями 2014 года данная статья утратила силу</w:t>
      </w:r>
      <w:r>
        <w:rPr>
          <w:rStyle w:val="a7"/>
          <w:rFonts w:ascii="Times New Roman" w:hAnsi="Times New Roman" w:cs="Times New Roman"/>
          <w:sz w:val="24"/>
          <w:szCs w:val="24"/>
        </w:rPr>
        <w:footnoteReference w:id="150"/>
      </w:r>
      <w:r>
        <w:rPr>
          <w:rFonts w:ascii="Times New Roman" w:hAnsi="Times New Roman" w:cs="Times New Roman"/>
          <w:sz w:val="24"/>
          <w:szCs w:val="24"/>
        </w:rPr>
        <w:t>. Таким образом, в настоящее время вопрос о допустимости приобретения права пожизненного наследуемого владения и об основаниях такого приобретения законодательно не урегулирован.</w:t>
      </w:r>
    </w:p>
    <w:p w14:paraId="44D1423D" w14:textId="77777777" w:rsidR="001B6C3B" w:rsidRDefault="001B6C3B" w:rsidP="001B6C3B">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Определенная озабоченность по данному поводу наблюдается в научной среде. Например, О.А. Романова отмечает, что отсутствие упоминаний в ЗК РФ об основаниях возникновения права пожизненного наследуемого владения может негативно сказаться в процессе реализации норм земельного законодательства: «…у граждан еще остаются земельные участки, предоставленные им на праве пожизненного наследуемого владения, поэтому преждевременно исключать соответствующие нормы из Земельного кодекса, создавая недопустимую правовую неопределенность»</w:t>
      </w:r>
      <w:r>
        <w:rPr>
          <w:rStyle w:val="a7"/>
          <w:rFonts w:ascii="Times New Roman" w:hAnsi="Times New Roman" w:cs="Times New Roman"/>
          <w:sz w:val="24"/>
          <w:szCs w:val="24"/>
        </w:rPr>
        <w:footnoteReference w:id="151"/>
      </w:r>
      <w:r>
        <w:rPr>
          <w:rFonts w:ascii="Times New Roman" w:hAnsi="Times New Roman" w:cs="Times New Roman"/>
          <w:sz w:val="24"/>
          <w:szCs w:val="24"/>
        </w:rPr>
        <w:t>.</w:t>
      </w:r>
    </w:p>
    <w:p w14:paraId="2AE6E711" w14:textId="77777777" w:rsidR="001B6C3B" w:rsidRDefault="001B6C3B" w:rsidP="001B6C3B">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Действительно, в связи с пробельностью законодательства имеют место проблемы в правоприменительной практике. Так, суды по-разному разрешают вопрос о допустимости перехода права пожизненного наследуемого владения на земельный участок в случае отчуждения землевладельцем находящейся на таком земельном участке недвижимости. При этом в судебных актах по-прежнему делается отсылка к ст. 21 ЗК РФ с оговоркой о том, что она утратила силу</w:t>
      </w:r>
      <w:r>
        <w:rPr>
          <w:rStyle w:val="a7"/>
          <w:rFonts w:ascii="Times New Roman" w:hAnsi="Times New Roman" w:cs="Times New Roman"/>
          <w:sz w:val="24"/>
          <w:szCs w:val="24"/>
        </w:rPr>
        <w:footnoteReference w:id="152"/>
      </w:r>
      <w:r>
        <w:rPr>
          <w:rFonts w:ascii="Times New Roman" w:hAnsi="Times New Roman" w:cs="Times New Roman"/>
          <w:sz w:val="24"/>
          <w:szCs w:val="24"/>
        </w:rPr>
        <w:t>.</w:t>
      </w:r>
    </w:p>
    <w:p w14:paraId="773B46E5" w14:textId="77777777" w:rsidR="001B6C3B" w:rsidRDefault="001B6C3B" w:rsidP="001B6C3B">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Обозначенная проблема требует нормативного решения. Ранее нами для преодоления неопределенности законодательства в вопросе оснований приобретения права пожизненного наследуемого владения были предложены следующие меры</w:t>
      </w:r>
      <w:r>
        <w:rPr>
          <w:rStyle w:val="a7"/>
          <w:rFonts w:ascii="Times New Roman" w:hAnsi="Times New Roman" w:cs="Times New Roman"/>
          <w:sz w:val="24"/>
          <w:szCs w:val="24"/>
        </w:rPr>
        <w:footnoteReference w:id="153"/>
      </w:r>
      <w:r>
        <w:rPr>
          <w:rFonts w:ascii="Times New Roman" w:hAnsi="Times New Roman" w:cs="Times New Roman"/>
          <w:sz w:val="24"/>
          <w:szCs w:val="24"/>
        </w:rPr>
        <w:t>:</w:t>
      </w:r>
    </w:p>
    <w:p w14:paraId="381BC996" w14:textId="77777777" w:rsidR="001B6C3B" w:rsidRDefault="001B6C3B" w:rsidP="001B6C3B">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 восполнить нормы прежней статьи 21 в Земельном кодексе РФ;</w:t>
      </w:r>
    </w:p>
    <w:p w14:paraId="1D1145DA" w14:textId="77777777" w:rsidR="001B6C3B" w:rsidRDefault="001B6C3B" w:rsidP="001B6C3B">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статью 265 Гражданского кодекса РФ дополнить нормой, которая бы недвусмысленно установила отсутствие оснований возникновения права пожизненного наследуемого владения </w:t>
      </w:r>
      <w:r>
        <w:rPr>
          <w:rFonts w:ascii="Times New Roman" w:hAnsi="Times New Roman" w:cs="Times New Roman"/>
          <w:sz w:val="24"/>
          <w:szCs w:val="24"/>
        </w:rPr>
        <w:lastRenderedPageBreak/>
        <w:t xml:space="preserve">на земельный участок, вместе с тем содержала бы указание на право землевладельца оформить в собственность принадлежащий ему участок. </w:t>
      </w:r>
    </w:p>
    <w:p w14:paraId="3AB1852D" w14:textId="77777777" w:rsidR="001B6C3B" w:rsidRDefault="001B6C3B" w:rsidP="001B6C3B">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Нормы, информирующие землевладельца о праве оформить в собственность принадлежащий ему земельный участок, нашли закрепление в иных законах. Например, некоторые особенности оформления земельного участка сельскохозяйственного назначения землевладельцем в собственность установлены п. 7 ст. 10 Федерального закона «Об обороте земель сельскохозяйственного назначения»</w:t>
      </w:r>
      <w:r>
        <w:rPr>
          <w:rStyle w:val="a7"/>
          <w:rFonts w:ascii="Times New Roman" w:hAnsi="Times New Roman" w:cs="Times New Roman"/>
          <w:sz w:val="24"/>
          <w:szCs w:val="24"/>
        </w:rPr>
        <w:footnoteReference w:id="154"/>
      </w:r>
      <w:r>
        <w:rPr>
          <w:rFonts w:ascii="Times New Roman" w:hAnsi="Times New Roman" w:cs="Times New Roman"/>
          <w:sz w:val="24"/>
          <w:szCs w:val="24"/>
        </w:rPr>
        <w:t xml:space="preserve">. Закрепление в Гражданском кодексе РФ положения о том, что право пожизненного наследуемого владения утратило свою актуальность и предполагается его замена полным вещным правом – правом собственности, может способствовать более активному переоформлению права пожизненного наследуемого владения. </w:t>
      </w:r>
    </w:p>
    <w:p w14:paraId="474EE60A" w14:textId="77777777" w:rsidR="001B6C3B" w:rsidRDefault="001B6C3B" w:rsidP="001B6C3B">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Общей для права пожизненного наследуемого владения и права постоянного (бессрочного) пользования является проблема их межотраслевой регламентации. Упомянутая ранее бланкетная норма ст. 265 ГК РФ является не единственным проявлением данной проблемы. Так, п. 1 ст. 268 ГК РФ является отсылочным к земельному законодательству в вопросе поиска субъектов права постоянного (бессрочного) пользования. На наш взгляд, следует признать справедливым в свете решения данной проблемы предложение, сформулированное Н.С. Салтыковым и С.В. Новиковой, о законодательном обособлении данных правовых конструкций в Гражданском кодексе РФ как нормативном правовом акте, определяющем существующую в России систему вещных прав</w:t>
      </w:r>
      <w:r>
        <w:rPr>
          <w:rStyle w:val="a7"/>
          <w:rFonts w:ascii="Times New Roman" w:hAnsi="Times New Roman" w:cs="Times New Roman"/>
          <w:sz w:val="24"/>
          <w:szCs w:val="24"/>
        </w:rPr>
        <w:footnoteReference w:id="155"/>
      </w:r>
      <w:r>
        <w:rPr>
          <w:rFonts w:ascii="Times New Roman" w:hAnsi="Times New Roman" w:cs="Times New Roman"/>
          <w:sz w:val="24"/>
          <w:szCs w:val="24"/>
        </w:rPr>
        <w:t xml:space="preserve">. Совершенствование законодательства в таком направлении будет способствовать единообразному пониманию ограниченных вещных прав среди правоприменителей, а также предотвратит пробельность законодательства, высокий риск образования которой имеет место при реформировании юридических механизмов, имеющих разрозненное правовое регулирование. </w:t>
      </w:r>
    </w:p>
    <w:p w14:paraId="38DBED8B" w14:textId="77777777" w:rsidR="001B6C3B" w:rsidRDefault="001B6C3B" w:rsidP="001B6C3B">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Одним из дискуссионных вопросов по совершенствованию гражданского законодательства о сервитутах выступает предложение о необходимости введения так называемых отрицательных сервитутов. Согласно цивилистической науке, сущность отрицательных сервитутов заключается в том, что обладатель такого сервитута наделяется правом запретить собственнику служащего участка совершать определенные действия</w:t>
      </w:r>
      <w:r>
        <w:rPr>
          <w:rStyle w:val="a7"/>
          <w:rFonts w:ascii="Times New Roman" w:hAnsi="Times New Roman" w:cs="Times New Roman"/>
          <w:sz w:val="24"/>
          <w:szCs w:val="24"/>
        </w:rPr>
        <w:footnoteReference w:id="156"/>
      </w:r>
      <w:r>
        <w:rPr>
          <w:rFonts w:ascii="Times New Roman" w:hAnsi="Times New Roman" w:cs="Times New Roman"/>
          <w:sz w:val="24"/>
          <w:szCs w:val="24"/>
        </w:rPr>
        <w:t xml:space="preserve">. К числу таких действий относятся, например, строительство зданий сверх определенной высоты, посадка тенистых деревьев, выведение окон на соседний земельный участок. Иными словами, установление отрицательного сервитута имеет целью гарантировать сохранение функциональности господствующего земельного участка. </w:t>
      </w:r>
    </w:p>
    <w:p w14:paraId="6834B427" w14:textId="77777777" w:rsidR="001B6C3B" w:rsidRDefault="001B6C3B" w:rsidP="001B6C3B">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Инициатива нормативно закрепить деление сервитутов на положительные и отрицательные была сформулирована составителями Концепции совершенствования гражданского законодательства РФ (далее – Концепция). Толкование пункта 5.2 Концепции (раздел </w:t>
      </w:r>
      <w:r>
        <w:rPr>
          <w:rFonts w:ascii="Times New Roman" w:hAnsi="Times New Roman" w:cs="Times New Roman"/>
          <w:sz w:val="24"/>
          <w:szCs w:val="24"/>
          <w:lang w:val="en-US"/>
        </w:rPr>
        <w:t>I</w:t>
      </w:r>
      <w:r>
        <w:rPr>
          <w:rFonts w:ascii="Times New Roman" w:hAnsi="Times New Roman" w:cs="Times New Roman"/>
          <w:sz w:val="24"/>
          <w:szCs w:val="24"/>
        </w:rPr>
        <w:t xml:space="preserve">V «Законодательство о вещных правах») позволяет предположить, что в основу такой классификации был положен не совсем характерный с точки зрения сложившегося в юридической науке представления о положительных и отрицательных сервитутах критерий необходимости совершения активных действий со стороны собственника служащей вещи. На наш взгляд, предложенная составителями Концепции классификация не в полной мере согласуется с общим требованием гражданско-правовой теории об объекте вещных прав. </w:t>
      </w:r>
      <w:r>
        <w:rPr>
          <w:rFonts w:ascii="Times New Roman" w:hAnsi="Times New Roman" w:cs="Times New Roman"/>
          <w:sz w:val="24"/>
          <w:szCs w:val="24"/>
        </w:rPr>
        <w:lastRenderedPageBreak/>
        <w:t>Таким объектом может быть только индивидуально определенное имущество, а не поведение субъекта корреспондирующей вещному праву обязанности</w:t>
      </w:r>
      <w:r>
        <w:rPr>
          <w:rStyle w:val="a7"/>
          <w:rFonts w:ascii="Times New Roman" w:hAnsi="Times New Roman" w:cs="Times New Roman"/>
          <w:sz w:val="24"/>
          <w:szCs w:val="24"/>
        </w:rPr>
        <w:footnoteReference w:id="157"/>
      </w:r>
      <w:r>
        <w:rPr>
          <w:rFonts w:ascii="Times New Roman" w:hAnsi="Times New Roman" w:cs="Times New Roman"/>
          <w:sz w:val="24"/>
          <w:szCs w:val="24"/>
        </w:rPr>
        <w:t>. Поэтому считаем более справедливым нормативное закрепление классификаций сервитута с точки зрения присущих ему субъекта, объекта и содержания.</w:t>
      </w:r>
    </w:p>
    <w:p w14:paraId="48F02105" w14:textId="77777777" w:rsidR="001B6C3B" w:rsidRDefault="001B6C3B" w:rsidP="001B6C3B">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Следует отметить, что и традиционная модель отрицательного сервитута, по мнению большинства цивилистов, не имеет перспектив включения в отечественное гражданское законодательство. Так, Т.С. Краснова приходит к выводу о сходной правовой природе отрицательного сервитута и обязательства с отрицательным содержанием, предусмотренного ст. 307 ГК РФ. В пользу обязательственно-правовой конструкции подобных отношений говорит и тот факт, что для защиты нарушенного права в рамках такого рода отношений нет необходимости прибегать к вещно-правовым способам защиты, так как потенциальный нарушитель заранее известен. В связи с этим Т.С. Краснова высказывает сомнение в потребности имплементации отрицательного сервитута в российское законодательство</w:t>
      </w:r>
      <w:r>
        <w:rPr>
          <w:rStyle w:val="a7"/>
          <w:rFonts w:ascii="Times New Roman" w:hAnsi="Times New Roman" w:cs="Times New Roman"/>
          <w:sz w:val="24"/>
          <w:szCs w:val="24"/>
        </w:rPr>
        <w:footnoteReference w:id="158"/>
      </w:r>
      <w:r>
        <w:rPr>
          <w:rFonts w:ascii="Times New Roman" w:hAnsi="Times New Roman" w:cs="Times New Roman"/>
          <w:sz w:val="24"/>
          <w:szCs w:val="24"/>
        </w:rPr>
        <w:t>.</w:t>
      </w:r>
    </w:p>
    <w:p w14:paraId="3F2FA963" w14:textId="77777777" w:rsidR="001B6C3B" w:rsidRDefault="001B6C3B" w:rsidP="001B6C3B">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Сходной позиции придерживается И.В. Афанасьев. По его мнению, нецелесообразным является одновременное законодательное закрепление отрицательных сервитутов и соседских прав</w:t>
      </w:r>
      <w:r>
        <w:rPr>
          <w:rStyle w:val="a7"/>
          <w:rFonts w:ascii="Times New Roman" w:hAnsi="Times New Roman" w:cs="Times New Roman"/>
          <w:sz w:val="24"/>
          <w:szCs w:val="24"/>
        </w:rPr>
        <w:footnoteReference w:id="159"/>
      </w:r>
      <w:r>
        <w:rPr>
          <w:rFonts w:ascii="Times New Roman" w:hAnsi="Times New Roman" w:cs="Times New Roman"/>
          <w:sz w:val="24"/>
          <w:szCs w:val="24"/>
        </w:rPr>
        <w:t xml:space="preserve">. Модель соседских прав, то есть разумных ограничений, которые должен претерпевать собственник земельного участка в интересах соседей, более детально разработана в рамках Концепции совершенствования гражданского законодательства РФ (пункты 2.5 и 3.6.2 раздела </w:t>
      </w:r>
      <w:r>
        <w:rPr>
          <w:rFonts w:ascii="Times New Roman" w:hAnsi="Times New Roman" w:cs="Times New Roman"/>
          <w:sz w:val="24"/>
          <w:szCs w:val="24"/>
          <w:lang w:val="en-US"/>
        </w:rPr>
        <w:t>I</w:t>
      </w:r>
      <w:r>
        <w:rPr>
          <w:rFonts w:ascii="Times New Roman" w:hAnsi="Times New Roman" w:cs="Times New Roman"/>
          <w:sz w:val="24"/>
          <w:szCs w:val="24"/>
        </w:rPr>
        <w:t>V «Законодательство о вещных правах»). При этом дискуссии о введении института соседских прав в настоящее время не ограничиваются юридической доктриной. Соответствующие изменения планируется в скором времени внести в Гражданский кодекс РФ</w:t>
      </w:r>
      <w:r>
        <w:rPr>
          <w:rStyle w:val="a7"/>
          <w:rFonts w:ascii="Times New Roman" w:hAnsi="Times New Roman" w:cs="Times New Roman"/>
          <w:sz w:val="24"/>
          <w:szCs w:val="24"/>
        </w:rPr>
        <w:footnoteReference w:id="160"/>
      </w:r>
      <w:r>
        <w:rPr>
          <w:rFonts w:ascii="Times New Roman" w:hAnsi="Times New Roman" w:cs="Times New Roman"/>
          <w:sz w:val="24"/>
          <w:szCs w:val="24"/>
        </w:rPr>
        <w:t>. Таким образом, можем сделать вывод об отсутствии необходимости введения отрицательного сервитута в российское законодательство.</w:t>
      </w:r>
    </w:p>
    <w:p w14:paraId="22821C60" w14:textId="77777777" w:rsidR="001B6C3B" w:rsidRDefault="001B6C3B" w:rsidP="001B6C3B">
      <w:pPr>
        <w:spacing w:line="240" w:lineRule="auto"/>
        <w:ind w:firstLine="709"/>
        <w:jc w:val="both"/>
        <w:rPr>
          <w:rFonts w:ascii="Times New Roman" w:hAnsi="Times New Roman" w:cs="Times New Roman"/>
          <w:sz w:val="24"/>
          <w:szCs w:val="24"/>
        </w:rPr>
      </w:pPr>
    </w:p>
    <w:p w14:paraId="74874771" w14:textId="77777777" w:rsidR="001B6C3B" w:rsidRDefault="001B6C3B" w:rsidP="001B6C3B">
      <w:pPr>
        <w:spacing w:line="240" w:lineRule="auto"/>
        <w:jc w:val="center"/>
        <w:rPr>
          <w:rFonts w:ascii="Times New Roman" w:hAnsi="Times New Roman" w:cs="Times New Roman"/>
          <w:b/>
          <w:sz w:val="24"/>
          <w:szCs w:val="24"/>
        </w:rPr>
      </w:pPr>
      <w:r>
        <w:rPr>
          <w:rFonts w:ascii="Times New Roman" w:hAnsi="Times New Roman" w:cs="Times New Roman"/>
          <w:b/>
          <w:sz w:val="24"/>
          <w:szCs w:val="24"/>
        </w:rPr>
        <w:t>Библиографический список</w:t>
      </w:r>
    </w:p>
    <w:p w14:paraId="04CCBF94" w14:textId="77777777" w:rsidR="001B6C3B" w:rsidRDefault="001B6C3B" w:rsidP="001B6C3B">
      <w:pPr>
        <w:spacing w:line="240" w:lineRule="auto"/>
        <w:ind w:firstLine="709"/>
        <w:jc w:val="both"/>
        <w:rPr>
          <w:rFonts w:ascii="Times New Roman" w:hAnsi="Times New Roman" w:cs="Times New Roman"/>
          <w:sz w:val="24"/>
          <w:szCs w:val="24"/>
        </w:rPr>
      </w:pPr>
    </w:p>
    <w:p w14:paraId="3DDE3841" w14:textId="77777777" w:rsidR="001B6C3B" w:rsidRDefault="001B6C3B" w:rsidP="001B6C3B">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1. Афанасьев И.В. Сервитут в системе ограниченных вещных прав: Автореф. дис. к.ю.н. – М., 2015. – 26 с.</w:t>
      </w:r>
    </w:p>
    <w:p w14:paraId="1120E4E4" w14:textId="77777777" w:rsidR="001B6C3B" w:rsidRDefault="001B6C3B" w:rsidP="001B6C3B">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2. Ахметьянова З.А. О видах вещных прав и их системе // Ученые записки Казанского университета. Серия: Гуманитарные науки. – 2011. – № 4. – С. 88-99.</w:t>
      </w:r>
    </w:p>
    <w:p w14:paraId="35F9B90C" w14:textId="77777777" w:rsidR="001B6C3B" w:rsidRDefault="001B6C3B" w:rsidP="001B6C3B">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3. Батурин В.А. Система ограниченных вещных прав в современном гражданском законодательстве: Автореф. дис. к.ю.н. – Краснодар, 2009. – 22 с.</w:t>
      </w:r>
    </w:p>
    <w:p w14:paraId="483CE05E" w14:textId="77777777" w:rsidR="001B6C3B" w:rsidRDefault="001B6C3B" w:rsidP="001B6C3B">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4. Гайбатова К.Д., Айгумова М.М. Сервитуты в российском гражданском праве // Государственная служба и кадры. – 2019. – № 1. – С. 76-80.</w:t>
      </w:r>
    </w:p>
    <w:p w14:paraId="62785C46" w14:textId="77777777" w:rsidR="001B6C3B" w:rsidRDefault="001B6C3B" w:rsidP="001B6C3B">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5. Гражданское право. В 2 ч. Ч. 1 : учебник для студентов вузов, обучающихся по направлению «Юриспруденция» / под редакцией В.П. Камышанского, Н.М. Коршунова, В.И. Иванова. – М.: ЮНИТИ-ДАНА, 2017. – 543 c.</w:t>
      </w:r>
    </w:p>
    <w:p w14:paraId="3E78D95F" w14:textId="77777777" w:rsidR="001B6C3B" w:rsidRDefault="001B6C3B" w:rsidP="001B6C3B">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6. Дешина А.С. Система ограниченных вещных прав в современном гражданском праве // Новая наука: теоретический и практический взгляд. – 2017. – № 2-2. – С. 127-130.</w:t>
      </w:r>
    </w:p>
    <w:p w14:paraId="3D37F996" w14:textId="77777777" w:rsidR="001B6C3B" w:rsidRDefault="001B6C3B" w:rsidP="001B6C3B">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7. Джадан Е.И. Законодательное регулирование права пожизненного наследуемого владения // Гражданское законодательство РФ: современное состояние, тенденции и перспективы развития. Сборник научно-практических статей II Международной научно-практической конференции. – 2017. – С. 71-74.</w:t>
      </w:r>
    </w:p>
    <w:p w14:paraId="276ED4CC" w14:textId="77777777" w:rsidR="001B6C3B" w:rsidRDefault="001B6C3B" w:rsidP="001B6C3B">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8. Камышанский В.П., Зелюка П.А., Иванов С.А. Суперфиций и эмфитевзис в гражданском праве: история и современность // Общество и право. – 2011. – № 3. – С. 105-109.</w:t>
      </w:r>
    </w:p>
    <w:p w14:paraId="61E65FC3" w14:textId="61EB64AB" w:rsidR="001B6C3B" w:rsidRPr="008A73CF" w:rsidRDefault="001B6C3B" w:rsidP="008A73CF">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9. </w:t>
      </w:r>
      <w:r w:rsidRPr="008A73CF">
        <w:rPr>
          <w:rFonts w:ascii="Times New Roman" w:hAnsi="Times New Roman" w:cs="Times New Roman"/>
          <w:sz w:val="24"/>
          <w:szCs w:val="24"/>
        </w:rPr>
        <w:t>Краснова Т.С. Отрицательный сервитут в российском праве // Ленинградский юридический журнал. – 2017. – № 1. – С. 102-112.</w:t>
      </w:r>
    </w:p>
    <w:p w14:paraId="752EA361" w14:textId="7EA41C44" w:rsidR="008A73CF" w:rsidRPr="008A73CF" w:rsidRDefault="008A73CF" w:rsidP="008A73CF">
      <w:pPr>
        <w:pStyle w:val="a5"/>
        <w:ind w:firstLine="709"/>
        <w:jc w:val="both"/>
        <w:rPr>
          <w:rFonts w:ascii="Times New Roman" w:hAnsi="Times New Roman" w:cs="Times New Roman"/>
          <w:sz w:val="24"/>
          <w:szCs w:val="24"/>
        </w:rPr>
      </w:pPr>
      <w:r w:rsidRPr="008A73CF">
        <w:rPr>
          <w:rFonts w:ascii="Times New Roman" w:hAnsi="Times New Roman" w:cs="Times New Roman"/>
          <w:sz w:val="24"/>
          <w:szCs w:val="24"/>
        </w:rPr>
        <w:t>10. Поленов Р.В., Камышанский В.П. Источники гражданско-правового регулирования отношений недропользования // Актуальные проблемы гражданского и предпринимательского права. - 2016. – С. 64.</w:t>
      </w:r>
    </w:p>
    <w:p w14:paraId="66F479C9" w14:textId="77777777" w:rsidR="008A73CF" w:rsidRDefault="008A73CF" w:rsidP="008A73CF">
      <w:pPr>
        <w:spacing w:line="240" w:lineRule="auto"/>
        <w:ind w:firstLine="709"/>
        <w:jc w:val="both"/>
        <w:rPr>
          <w:rFonts w:ascii="Times New Roman" w:hAnsi="Times New Roman" w:cs="Times New Roman"/>
          <w:sz w:val="24"/>
          <w:szCs w:val="24"/>
        </w:rPr>
      </w:pPr>
    </w:p>
    <w:p w14:paraId="5DF4AAE2" w14:textId="22E5DA4D" w:rsidR="001B6C3B" w:rsidRPr="008A73CF" w:rsidRDefault="001B6C3B" w:rsidP="008A73CF">
      <w:pPr>
        <w:spacing w:line="240" w:lineRule="auto"/>
        <w:ind w:firstLine="709"/>
        <w:jc w:val="both"/>
        <w:rPr>
          <w:rFonts w:ascii="Times New Roman" w:hAnsi="Times New Roman" w:cs="Times New Roman"/>
          <w:sz w:val="24"/>
          <w:szCs w:val="24"/>
        </w:rPr>
      </w:pPr>
      <w:r w:rsidRPr="008A73CF">
        <w:rPr>
          <w:rFonts w:ascii="Times New Roman" w:hAnsi="Times New Roman" w:cs="Times New Roman"/>
          <w:sz w:val="24"/>
          <w:szCs w:val="24"/>
        </w:rPr>
        <w:t>1</w:t>
      </w:r>
      <w:r w:rsidR="008A73CF" w:rsidRPr="008A73CF">
        <w:rPr>
          <w:rFonts w:ascii="Times New Roman" w:hAnsi="Times New Roman" w:cs="Times New Roman"/>
          <w:sz w:val="24"/>
          <w:szCs w:val="24"/>
        </w:rPr>
        <w:t>1</w:t>
      </w:r>
      <w:r w:rsidRPr="008A73CF">
        <w:rPr>
          <w:rFonts w:ascii="Times New Roman" w:hAnsi="Times New Roman" w:cs="Times New Roman"/>
          <w:sz w:val="24"/>
          <w:szCs w:val="24"/>
        </w:rPr>
        <w:t>. Романова О.А. Развитие земельного законодательства: вопросы теории и практики // Lex russica. – 2016. – № 6. – С. 132-145.</w:t>
      </w:r>
    </w:p>
    <w:p w14:paraId="0E4C8149" w14:textId="356F1107" w:rsidR="001B6C3B" w:rsidRDefault="001B6C3B" w:rsidP="008A73CF">
      <w:pPr>
        <w:spacing w:line="240" w:lineRule="auto"/>
        <w:ind w:firstLine="709"/>
        <w:jc w:val="both"/>
        <w:rPr>
          <w:rFonts w:ascii="Times New Roman" w:hAnsi="Times New Roman" w:cs="Times New Roman"/>
          <w:sz w:val="24"/>
          <w:szCs w:val="24"/>
        </w:rPr>
      </w:pPr>
      <w:r w:rsidRPr="008A73CF">
        <w:rPr>
          <w:rFonts w:ascii="Times New Roman" w:hAnsi="Times New Roman" w:cs="Times New Roman"/>
          <w:sz w:val="24"/>
          <w:szCs w:val="24"/>
        </w:rPr>
        <w:t>1</w:t>
      </w:r>
      <w:r w:rsidR="008A73CF" w:rsidRPr="008A73CF">
        <w:rPr>
          <w:rFonts w:ascii="Times New Roman" w:hAnsi="Times New Roman" w:cs="Times New Roman"/>
          <w:sz w:val="24"/>
          <w:szCs w:val="24"/>
        </w:rPr>
        <w:t>2</w:t>
      </w:r>
      <w:r w:rsidRPr="008A73CF">
        <w:rPr>
          <w:rFonts w:ascii="Times New Roman" w:hAnsi="Times New Roman" w:cs="Times New Roman"/>
          <w:sz w:val="24"/>
          <w:szCs w:val="24"/>
        </w:rPr>
        <w:t>. Российское гражданское право: Учебник: В 2 т. Т. I: Общая часть. Вещное право. Наследственное право. Интеллектуальные</w:t>
      </w:r>
      <w:r>
        <w:rPr>
          <w:rFonts w:ascii="Times New Roman" w:hAnsi="Times New Roman" w:cs="Times New Roman"/>
          <w:sz w:val="24"/>
          <w:szCs w:val="24"/>
        </w:rPr>
        <w:t xml:space="preserve"> права. Личные неимущественные права / Отв. ред. Е.А. Суханов. – 2-е изд., стереотип. – М.: Статут, 2011. – 958 c.</w:t>
      </w:r>
    </w:p>
    <w:p w14:paraId="2808978D" w14:textId="208C399B" w:rsidR="001B6C3B" w:rsidRDefault="001B6C3B" w:rsidP="001B6C3B">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1</w:t>
      </w:r>
      <w:r w:rsidR="008A73CF">
        <w:rPr>
          <w:rFonts w:ascii="Times New Roman" w:hAnsi="Times New Roman" w:cs="Times New Roman"/>
          <w:sz w:val="24"/>
          <w:szCs w:val="24"/>
        </w:rPr>
        <w:t>3</w:t>
      </w:r>
      <w:r>
        <w:rPr>
          <w:rFonts w:ascii="Times New Roman" w:hAnsi="Times New Roman" w:cs="Times New Roman"/>
          <w:sz w:val="24"/>
          <w:szCs w:val="24"/>
        </w:rPr>
        <w:t>. Салтыков Н.А., Новикова С.В. Особенности развития института права постоянного (бессрочного) пользования земельным участком в гражданском праве России // Гражданское законодательство РФ: современное состояние, тенденции и перспективы развития. Сборник научно-практических статей II Международной научно-практической конференции. – 2017. – С. 153-157.</w:t>
      </w:r>
    </w:p>
    <w:p w14:paraId="6CAAC161" w14:textId="77777777" w:rsidR="001B6C3B" w:rsidRDefault="001B6C3B" w:rsidP="001B6C3B">
      <w:pPr>
        <w:spacing w:line="240" w:lineRule="auto"/>
        <w:ind w:firstLine="709"/>
        <w:jc w:val="both"/>
        <w:rPr>
          <w:rFonts w:ascii="Times New Roman" w:hAnsi="Times New Roman" w:cs="Times New Roman"/>
          <w:sz w:val="24"/>
          <w:szCs w:val="24"/>
        </w:rPr>
      </w:pPr>
    </w:p>
    <w:p w14:paraId="6DC9992D" w14:textId="77777777" w:rsidR="001B6C3B" w:rsidRDefault="001B6C3B" w:rsidP="001B6C3B">
      <w:pPr>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w:t>
      </w:r>
    </w:p>
    <w:p w14:paraId="6A0645C3" w14:textId="77777777" w:rsidR="001B6C3B" w:rsidRDefault="001B6C3B" w:rsidP="001B6C3B">
      <w:pPr>
        <w:spacing w:after="0" w:line="240" w:lineRule="auto"/>
        <w:rPr>
          <w:rFonts w:ascii="Times New Roman" w:hAnsi="Times New Roman" w:cs="Times New Roman"/>
          <w:sz w:val="24"/>
          <w:szCs w:val="24"/>
        </w:rPr>
        <w:sectPr w:rsidR="001B6C3B">
          <w:footnotePr>
            <w:numRestart w:val="eachPage"/>
          </w:footnotePr>
          <w:pgSz w:w="11906" w:h="16838"/>
          <w:pgMar w:top="1134" w:right="1134" w:bottom="1134" w:left="1134" w:header="709" w:footer="709" w:gutter="0"/>
          <w:cols w:space="720"/>
        </w:sectPr>
      </w:pPr>
    </w:p>
    <w:p w14:paraId="0DAF31C5" w14:textId="77777777" w:rsidR="001B6C3B" w:rsidRDefault="001B6C3B" w:rsidP="001B6C3B">
      <w:pPr>
        <w:spacing w:after="0" w:line="240" w:lineRule="auto"/>
        <w:ind w:left="4678"/>
        <w:jc w:val="both"/>
        <w:rPr>
          <w:rFonts w:ascii="Times New Roman" w:hAnsi="Times New Roman" w:cs="Times New Roman"/>
          <w:b/>
          <w:sz w:val="24"/>
          <w:szCs w:val="24"/>
        </w:rPr>
      </w:pPr>
      <w:r>
        <w:rPr>
          <w:rFonts w:ascii="Times New Roman" w:hAnsi="Times New Roman" w:cs="Times New Roman"/>
          <w:b/>
          <w:sz w:val="24"/>
          <w:szCs w:val="24"/>
        </w:rPr>
        <w:lastRenderedPageBreak/>
        <w:t>УДК 347.24</w:t>
      </w:r>
    </w:p>
    <w:p w14:paraId="15150393" w14:textId="77777777" w:rsidR="001B6C3B" w:rsidRDefault="001B6C3B" w:rsidP="001B6C3B">
      <w:pPr>
        <w:spacing w:after="0" w:line="240" w:lineRule="auto"/>
        <w:ind w:left="4678"/>
        <w:jc w:val="both"/>
        <w:rPr>
          <w:rFonts w:ascii="Times New Roman" w:hAnsi="Times New Roman" w:cs="Times New Roman"/>
          <w:b/>
          <w:sz w:val="24"/>
          <w:szCs w:val="24"/>
        </w:rPr>
      </w:pPr>
      <w:r>
        <w:rPr>
          <w:rFonts w:ascii="Times New Roman" w:hAnsi="Times New Roman" w:cs="Times New Roman"/>
          <w:b/>
          <w:sz w:val="24"/>
          <w:szCs w:val="24"/>
        </w:rPr>
        <w:t>Зайцев Дмитрий Максимович</w:t>
      </w:r>
    </w:p>
    <w:p w14:paraId="6236C9EF" w14:textId="77777777" w:rsidR="001B6C3B" w:rsidRDefault="001B6C3B" w:rsidP="001B6C3B">
      <w:pPr>
        <w:spacing w:after="0" w:line="240" w:lineRule="auto"/>
        <w:ind w:left="4678"/>
        <w:jc w:val="both"/>
        <w:rPr>
          <w:rFonts w:ascii="Times New Roman" w:hAnsi="Times New Roman" w:cs="Times New Roman"/>
          <w:b/>
          <w:sz w:val="24"/>
          <w:szCs w:val="24"/>
        </w:rPr>
      </w:pPr>
      <w:r>
        <w:rPr>
          <w:rFonts w:ascii="Times New Roman" w:hAnsi="Times New Roman" w:cs="Times New Roman"/>
          <w:b/>
          <w:sz w:val="24"/>
          <w:szCs w:val="24"/>
        </w:rPr>
        <w:t>Zaitsev Dmitri Maximovich</w:t>
      </w:r>
    </w:p>
    <w:p w14:paraId="6AEDC41E" w14:textId="77777777" w:rsidR="001B6C3B" w:rsidRDefault="001B6C3B" w:rsidP="001B6C3B">
      <w:pPr>
        <w:spacing w:after="0" w:line="240" w:lineRule="auto"/>
        <w:ind w:left="4678"/>
        <w:jc w:val="both"/>
        <w:rPr>
          <w:rFonts w:ascii="Times New Roman" w:hAnsi="Times New Roman" w:cs="Times New Roman"/>
          <w:sz w:val="24"/>
          <w:szCs w:val="24"/>
        </w:rPr>
      </w:pPr>
      <w:r>
        <w:rPr>
          <w:rFonts w:ascii="Times New Roman" w:hAnsi="Times New Roman" w:cs="Times New Roman"/>
          <w:sz w:val="24"/>
          <w:szCs w:val="24"/>
        </w:rPr>
        <w:t>бакалавр Федеральное государственное бюджетное образовательное учреждение высшего образования</w:t>
      </w:r>
    </w:p>
    <w:p w14:paraId="3E899B20" w14:textId="77777777" w:rsidR="001B6C3B" w:rsidRDefault="001B6C3B" w:rsidP="001B6C3B">
      <w:pPr>
        <w:spacing w:after="0" w:line="240" w:lineRule="auto"/>
        <w:ind w:left="4678"/>
        <w:jc w:val="both"/>
        <w:rPr>
          <w:rFonts w:ascii="Times New Roman" w:hAnsi="Times New Roman" w:cs="Times New Roman"/>
          <w:sz w:val="24"/>
          <w:szCs w:val="24"/>
        </w:rPr>
      </w:pPr>
      <w:r>
        <w:rPr>
          <w:rFonts w:ascii="Times New Roman" w:hAnsi="Times New Roman" w:cs="Times New Roman"/>
          <w:sz w:val="24"/>
          <w:szCs w:val="24"/>
        </w:rPr>
        <w:t>«Кубанский государственный аграрный университет имени И.Т. Трубилина»</w:t>
      </w:r>
    </w:p>
    <w:p w14:paraId="4010E794" w14:textId="77777777" w:rsidR="001B6C3B" w:rsidRDefault="001B6C3B" w:rsidP="001B6C3B">
      <w:pPr>
        <w:spacing w:after="0" w:line="240" w:lineRule="auto"/>
        <w:ind w:left="4678"/>
        <w:jc w:val="both"/>
        <w:rPr>
          <w:rFonts w:ascii="Times New Roman" w:hAnsi="Times New Roman" w:cs="Times New Roman"/>
          <w:sz w:val="24"/>
          <w:szCs w:val="24"/>
          <w:lang w:val="en-US"/>
        </w:rPr>
      </w:pPr>
      <w:r>
        <w:rPr>
          <w:rFonts w:ascii="Times New Roman" w:hAnsi="Times New Roman" w:cs="Times New Roman"/>
          <w:sz w:val="24"/>
          <w:szCs w:val="24"/>
          <w:lang w:val="en-US"/>
        </w:rPr>
        <w:t>Federal State Budgetary Educational Institution of Higher Education</w:t>
      </w:r>
    </w:p>
    <w:p w14:paraId="6390E125" w14:textId="77777777" w:rsidR="001B6C3B" w:rsidRDefault="001B6C3B" w:rsidP="001B6C3B">
      <w:pPr>
        <w:spacing w:after="0" w:line="240" w:lineRule="auto"/>
        <w:ind w:left="4678"/>
        <w:jc w:val="both"/>
        <w:rPr>
          <w:rFonts w:ascii="Times New Roman" w:hAnsi="Times New Roman" w:cs="Times New Roman"/>
          <w:sz w:val="24"/>
          <w:szCs w:val="24"/>
          <w:lang w:val="en-US"/>
        </w:rPr>
      </w:pPr>
      <w:r>
        <w:rPr>
          <w:rFonts w:ascii="Times New Roman" w:hAnsi="Times New Roman" w:cs="Times New Roman"/>
          <w:sz w:val="24"/>
          <w:szCs w:val="24"/>
          <w:lang w:val="en-US"/>
        </w:rPr>
        <w:t>“Kuban State Agrarian University named after I.T. Trubilin”</w:t>
      </w:r>
    </w:p>
    <w:p w14:paraId="481A341D" w14:textId="77777777" w:rsidR="001B6C3B" w:rsidRDefault="001B6C3B" w:rsidP="001B6C3B">
      <w:pPr>
        <w:spacing w:after="0" w:line="240" w:lineRule="auto"/>
        <w:ind w:left="4678"/>
        <w:jc w:val="both"/>
        <w:rPr>
          <w:rFonts w:ascii="Times New Roman" w:hAnsi="Times New Roman" w:cs="Times New Roman"/>
          <w:sz w:val="24"/>
          <w:szCs w:val="24"/>
        </w:rPr>
      </w:pPr>
      <w:r>
        <w:rPr>
          <w:rFonts w:ascii="Times New Roman" w:hAnsi="Times New Roman" w:cs="Times New Roman"/>
          <w:sz w:val="24"/>
          <w:szCs w:val="24"/>
        </w:rPr>
        <w:t>Российская Федерация, г. Краснодар</w:t>
      </w:r>
    </w:p>
    <w:p w14:paraId="304E170D" w14:textId="77777777" w:rsidR="001B6C3B" w:rsidRDefault="001B6C3B" w:rsidP="001B6C3B">
      <w:pPr>
        <w:spacing w:after="0" w:line="240" w:lineRule="auto"/>
        <w:ind w:left="4678"/>
        <w:jc w:val="both"/>
        <w:rPr>
          <w:rFonts w:ascii="Times New Roman" w:hAnsi="Times New Roman" w:cs="Times New Roman"/>
          <w:sz w:val="24"/>
          <w:szCs w:val="24"/>
        </w:rPr>
      </w:pPr>
      <w:r>
        <w:rPr>
          <w:rFonts w:ascii="Times New Roman" w:hAnsi="Times New Roman" w:cs="Times New Roman"/>
          <w:sz w:val="24"/>
          <w:szCs w:val="24"/>
          <w:lang w:val="en-US"/>
        </w:rPr>
        <w:t>Russian</w:t>
      </w:r>
      <w:r w:rsidRPr="00430C1C">
        <w:rPr>
          <w:rFonts w:ascii="Times New Roman" w:hAnsi="Times New Roman" w:cs="Times New Roman"/>
          <w:sz w:val="24"/>
          <w:szCs w:val="24"/>
        </w:rPr>
        <w:t xml:space="preserve"> </w:t>
      </w:r>
      <w:r>
        <w:rPr>
          <w:rFonts w:ascii="Times New Roman" w:hAnsi="Times New Roman" w:cs="Times New Roman"/>
          <w:sz w:val="24"/>
          <w:szCs w:val="24"/>
          <w:lang w:val="en-US"/>
        </w:rPr>
        <w:t>Federation</w:t>
      </w:r>
      <w:r>
        <w:rPr>
          <w:rFonts w:ascii="Times New Roman" w:hAnsi="Times New Roman" w:cs="Times New Roman"/>
          <w:sz w:val="24"/>
          <w:szCs w:val="24"/>
        </w:rPr>
        <w:t xml:space="preserve">, </w:t>
      </w:r>
      <w:r>
        <w:rPr>
          <w:rFonts w:ascii="Times New Roman" w:hAnsi="Times New Roman" w:cs="Times New Roman"/>
          <w:sz w:val="24"/>
          <w:szCs w:val="24"/>
          <w:lang w:val="en-US"/>
        </w:rPr>
        <w:t>Krasnodar</w:t>
      </w:r>
    </w:p>
    <w:p w14:paraId="3ED71162" w14:textId="77777777" w:rsidR="001B6C3B" w:rsidRDefault="001B6C3B" w:rsidP="001B6C3B">
      <w:pPr>
        <w:spacing w:after="0" w:line="240" w:lineRule="auto"/>
        <w:ind w:left="4678"/>
        <w:jc w:val="both"/>
        <w:rPr>
          <w:rFonts w:ascii="Times New Roman" w:hAnsi="Times New Roman" w:cs="Times New Roman"/>
          <w:sz w:val="24"/>
          <w:szCs w:val="24"/>
        </w:rPr>
      </w:pPr>
      <w:r>
        <w:rPr>
          <w:rFonts w:ascii="Times New Roman" w:hAnsi="Times New Roman" w:cs="Times New Roman"/>
          <w:sz w:val="24"/>
          <w:szCs w:val="24"/>
          <w:lang w:val="en-US"/>
        </w:rPr>
        <w:t>zayac</w:t>
      </w:r>
      <w:r>
        <w:rPr>
          <w:rFonts w:ascii="Times New Roman" w:hAnsi="Times New Roman" w:cs="Times New Roman"/>
          <w:sz w:val="24"/>
          <w:szCs w:val="24"/>
        </w:rPr>
        <w:t>1309@</w:t>
      </w:r>
      <w:r>
        <w:rPr>
          <w:rFonts w:ascii="Times New Roman" w:hAnsi="Times New Roman" w:cs="Times New Roman"/>
          <w:sz w:val="24"/>
          <w:szCs w:val="24"/>
          <w:lang w:val="en-US"/>
        </w:rPr>
        <w:t>yandex</w:t>
      </w:r>
      <w:r>
        <w:rPr>
          <w:rFonts w:ascii="Times New Roman" w:hAnsi="Times New Roman" w:cs="Times New Roman"/>
          <w:sz w:val="24"/>
          <w:szCs w:val="24"/>
        </w:rPr>
        <w:t>.</w:t>
      </w:r>
      <w:r>
        <w:rPr>
          <w:rFonts w:ascii="Times New Roman" w:hAnsi="Times New Roman" w:cs="Times New Roman"/>
          <w:sz w:val="24"/>
          <w:szCs w:val="24"/>
          <w:lang w:val="en-US"/>
        </w:rPr>
        <w:t>ru</w:t>
      </w:r>
    </w:p>
    <w:p w14:paraId="57FD7D4D" w14:textId="77777777" w:rsidR="001B6C3B" w:rsidRDefault="001B6C3B" w:rsidP="001B6C3B">
      <w:pPr>
        <w:spacing w:after="0" w:line="240" w:lineRule="auto"/>
        <w:ind w:left="4678"/>
        <w:jc w:val="both"/>
        <w:rPr>
          <w:rFonts w:ascii="Times New Roman" w:hAnsi="Times New Roman" w:cs="Times New Roman"/>
          <w:b/>
          <w:sz w:val="24"/>
          <w:szCs w:val="24"/>
        </w:rPr>
      </w:pPr>
      <w:r>
        <w:rPr>
          <w:rFonts w:ascii="Times New Roman" w:hAnsi="Times New Roman" w:cs="Times New Roman"/>
          <w:b/>
          <w:sz w:val="24"/>
          <w:szCs w:val="24"/>
        </w:rPr>
        <w:t>Кончаков Александр Борисович</w:t>
      </w:r>
    </w:p>
    <w:p w14:paraId="32BCC565" w14:textId="77777777" w:rsidR="001B6C3B" w:rsidRDefault="001B6C3B" w:rsidP="001B6C3B">
      <w:pPr>
        <w:spacing w:after="0" w:line="240" w:lineRule="auto"/>
        <w:ind w:left="4678"/>
        <w:jc w:val="both"/>
        <w:rPr>
          <w:rFonts w:ascii="Times New Roman" w:hAnsi="Times New Roman" w:cs="Times New Roman"/>
          <w:sz w:val="24"/>
          <w:szCs w:val="24"/>
        </w:rPr>
      </w:pPr>
      <w:r>
        <w:rPr>
          <w:rFonts w:ascii="Times New Roman" w:hAnsi="Times New Roman" w:cs="Times New Roman"/>
          <w:sz w:val="24"/>
          <w:szCs w:val="24"/>
        </w:rPr>
        <w:t>преподаватель Федеральное государственное бюджетное образовательное учреждение высшего образования</w:t>
      </w:r>
    </w:p>
    <w:p w14:paraId="0EED860A" w14:textId="77777777" w:rsidR="001B6C3B" w:rsidRDefault="001B6C3B" w:rsidP="001B6C3B">
      <w:pPr>
        <w:spacing w:after="0" w:line="240" w:lineRule="auto"/>
        <w:ind w:left="4678"/>
        <w:jc w:val="both"/>
        <w:rPr>
          <w:rFonts w:ascii="Times New Roman" w:hAnsi="Times New Roman" w:cs="Times New Roman"/>
          <w:sz w:val="24"/>
          <w:szCs w:val="24"/>
        </w:rPr>
      </w:pPr>
      <w:r>
        <w:rPr>
          <w:rFonts w:ascii="Times New Roman" w:hAnsi="Times New Roman" w:cs="Times New Roman"/>
          <w:sz w:val="24"/>
          <w:szCs w:val="24"/>
        </w:rPr>
        <w:t>«Кубанский государственный аграрный университет имени И.Т. Трубилина»</w:t>
      </w:r>
    </w:p>
    <w:p w14:paraId="493BF903" w14:textId="77777777" w:rsidR="001B6C3B" w:rsidRDefault="001B6C3B" w:rsidP="001B6C3B">
      <w:pPr>
        <w:spacing w:after="0" w:line="240" w:lineRule="auto"/>
        <w:ind w:firstLine="709"/>
        <w:jc w:val="both"/>
        <w:rPr>
          <w:rFonts w:ascii="Times New Roman" w:hAnsi="Times New Roman" w:cs="Times New Roman"/>
          <w:sz w:val="24"/>
          <w:szCs w:val="24"/>
        </w:rPr>
      </w:pPr>
    </w:p>
    <w:p w14:paraId="1CCCB797" w14:textId="77777777" w:rsidR="001B6C3B" w:rsidRDefault="001B6C3B" w:rsidP="001B6C3B">
      <w:pPr>
        <w:spacing w:after="0" w:line="240" w:lineRule="auto"/>
        <w:ind w:firstLine="709"/>
        <w:jc w:val="center"/>
        <w:rPr>
          <w:rFonts w:ascii="Times New Roman" w:hAnsi="Times New Roman" w:cs="Times New Roman"/>
          <w:b/>
          <w:sz w:val="24"/>
          <w:szCs w:val="24"/>
        </w:rPr>
      </w:pPr>
      <w:r>
        <w:rPr>
          <w:rFonts w:ascii="Times New Roman" w:hAnsi="Times New Roman" w:cs="Times New Roman"/>
          <w:b/>
          <w:sz w:val="24"/>
          <w:szCs w:val="24"/>
        </w:rPr>
        <w:t>К ВОПРОСУ ОБ ОГРАНИЧЕННЫХ ВЕЩНЫХ ПРАВАХ</w:t>
      </w:r>
    </w:p>
    <w:p w14:paraId="74ABEAFA" w14:textId="77777777" w:rsidR="001B6C3B" w:rsidRDefault="001B6C3B" w:rsidP="001B6C3B">
      <w:pPr>
        <w:spacing w:after="0" w:line="240" w:lineRule="auto"/>
        <w:ind w:firstLine="709"/>
        <w:jc w:val="center"/>
        <w:rPr>
          <w:rFonts w:ascii="Times New Roman" w:hAnsi="Times New Roman" w:cs="Times New Roman"/>
          <w:b/>
          <w:sz w:val="24"/>
          <w:szCs w:val="24"/>
        </w:rPr>
      </w:pPr>
    </w:p>
    <w:p w14:paraId="026271D5" w14:textId="77777777" w:rsidR="001B6C3B" w:rsidRDefault="001B6C3B" w:rsidP="001B6C3B">
      <w:pPr>
        <w:spacing w:after="0" w:line="240" w:lineRule="auto"/>
        <w:ind w:firstLine="709"/>
        <w:jc w:val="center"/>
        <w:rPr>
          <w:rFonts w:ascii="Times New Roman" w:hAnsi="Times New Roman" w:cs="Times New Roman"/>
          <w:b/>
          <w:sz w:val="24"/>
          <w:szCs w:val="24"/>
          <w:lang w:val="en-US"/>
        </w:rPr>
      </w:pPr>
      <w:r>
        <w:rPr>
          <w:rFonts w:ascii="Times New Roman" w:hAnsi="Times New Roman" w:cs="Times New Roman"/>
          <w:b/>
          <w:sz w:val="24"/>
          <w:szCs w:val="24"/>
          <w:lang w:val="en-US"/>
        </w:rPr>
        <w:t>ON THE ISSUE OF LIMITED PROPRIETARY RIGHTS</w:t>
      </w:r>
    </w:p>
    <w:p w14:paraId="15B5B958" w14:textId="77777777" w:rsidR="001B6C3B" w:rsidRDefault="001B6C3B" w:rsidP="001B6C3B">
      <w:pPr>
        <w:spacing w:after="0" w:line="240" w:lineRule="auto"/>
        <w:ind w:firstLine="709"/>
        <w:jc w:val="both"/>
        <w:rPr>
          <w:rFonts w:ascii="Times New Roman" w:hAnsi="Times New Roman" w:cs="Times New Roman"/>
          <w:b/>
          <w:sz w:val="24"/>
          <w:szCs w:val="24"/>
          <w:lang w:val="en-US"/>
        </w:rPr>
      </w:pPr>
    </w:p>
    <w:p w14:paraId="77942AF3"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i/>
          <w:sz w:val="24"/>
          <w:szCs w:val="24"/>
        </w:rPr>
        <w:t xml:space="preserve">Аннотация: </w:t>
      </w:r>
      <w:r>
        <w:rPr>
          <w:rFonts w:ascii="Times New Roman" w:hAnsi="Times New Roman" w:cs="Times New Roman"/>
          <w:sz w:val="24"/>
          <w:szCs w:val="24"/>
        </w:rPr>
        <w:t>В данной статье автором рассмотрены основные положения об ограниченных вещных правах. Проведен анализ института ограниченных вещных прав. Автором освещаются отдельные виды вещных прав, таких как право хозяйственного ведения, право оперативного управления, право пожизненного наследуемого владения земельным участком, сервитут, залоговое право, право удержания. Также рассмотрены некоторые проблемы, существующие в институте вещных прав.</w:t>
      </w:r>
    </w:p>
    <w:p w14:paraId="0A40B626"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i/>
          <w:sz w:val="24"/>
          <w:szCs w:val="24"/>
        </w:rPr>
        <w:t>Ключевые слова:</w:t>
      </w:r>
      <w:r>
        <w:rPr>
          <w:rFonts w:ascii="Times New Roman" w:hAnsi="Times New Roman" w:cs="Times New Roman"/>
          <w:sz w:val="24"/>
          <w:szCs w:val="24"/>
        </w:rPr>
        <w:t xml:space="preserve"> российское гражданское право, институт вещных прав,</w:t>
      </w:r>
      <w:r>
        <w:rPr>
          <w:rFonts w:ascii="Times New Roman" w:hAnsi="Times New Roman" w:cs="Times New Roman"/>
          <w:i/>
          <w:sz w:val="24"/>
          <w:szCs w:val="24"/>
        </w:rPr>
        <w:t xml:space="preserve"> </w:t>
      </w:r>
      <w:r>
        <w:rPr>
          <w:rFonts w:ascii="Times New Roman" w:hAnsi="Times New Roman" w:cs="Times New Roman"/>
          <w:sz w:val="24"/>
          <w:szCs w:val="24"/>
        </w:rPr>
        <w:t>ограниченные вещные права, право хозяйственного ведения, право оперативного управления, право пожизненного наследуемого владения земельным участком, сервитут, приобретательная давность, залоговое право, право удержания.</w:t>
      </w:r>
    </w:p>
    <w:p w14:paraId="6F988BAB" w14:textId="77777777" w:rsidR="001B6C3B" w:rsidRDefault="001B6C3B" w:rsidP="001B6C3B">
      <w:pPr>
        <w:spacing w:after="0" w:line="240" w:lineRule="auto"/>
        <w:ind w:firstLine="709"/>
        <w:jc w:val="both"/>
        <w:rPr>
          <w:rFonts w:ascii="Times New Roman" w:hAnsi="Times New Roman" w:cs="Times New Roman"/>
          <w:sz w:val="24"/>
          <w:szCs w:val="24"/>
          <w:lang w:val="en-US"/>
        </w:rPr>
      </w:pPr>
      <w:r>
        <w:rPr>
          <w:rFonts w:ascii="Times New Roman" w:hAnsi="Times New Roman" w:cs="Times New Roman"/>
          <w:i/>
          <w:sz w:val="24"/>
          <w:szCs w:val="24"/>
        </w:rPr>
        <w:t>А</w:t>
      </w:r>
      <w:r>
        <w:rPr>
          <w:rFonts w:ascii="Times New Roman" w:hAnsi="Times New Roman" w:cs="Times New Roman"/>
          <w:i/>
          <w:sz w:val="24"/>
          <w:szCs w:val="24"/>
          <w:lang w:val="en-US"/>
        </w:rPr>
        <w:t>nnotation:</w:t>
      </w:r>
      <w:r>
        <w:rPr>
          <w:rFonts w:ascii="Times New Roman" w:hAnsi="Times New Roman" w:cs="Times New Roman"/>
          <w:sz w:val="24"/>
          <w:szCs w:val="24"/>
          <w:lang w:val="en-US"/>
        </w:rPr>
        <w:t xml:space="preserve"> In this article, the author considers the main provisions on restricted real rights. The analysis of the Institute of limited real rights is carried out. The author highlights certain types of real rights, such as the right of economic management, the right of operational management, the right of lifelong inherited ownership of land, easement, collateral, and retention rights. Some problems that exist in the Institute of real rights are also considered.</w:t>
      </w:r>
    </w:p>
    <w:p w14:paraId="4A332458" w14:textId="77777777" w:rsidR="001B6C3B" w:rsidRDefault="001B6C3B" w:rsidP="001B6C3B">
      <w:pPr>
        <w:spacing w:after="0" w:line="240" w:lineRule="auto"/>
        <w:ind w:firstLine="709"/>
        <w:jc w:val="both"/>
        <w:rPr>
          <w:rFonts w:ascii="Times New Roman" w:hAnsi="Times New Roman" w:cs="Times New Roman"/>
          <w:sz w:val="24"/>
          <w:szCs w:val="24"/>
          <w:lang w:val="en-US"/>
        </w:rPr>
      </w:pPr>
      <w:r>
        <w:rPr>
          <w:rFonts w:ascii="Times New Roman" w:hAnsi="Times New Roman" w:cs="Times New Roman"/>
          <w:i/>
          <w:sz w:val="24"/>
          <w:szCs w:val="24"/>
          <w:lang w:val="en-US"/>
        </w:rPr>
        <w:t>Keywords</w:t>
      </w:r>
      <w:r>
        <w:rPr>
          <w:rFonts w:ascii="Times New Roman" w:hAnsi="Times New Roman" w:cs="Times New Roman"/>
          <w:sz w:val="24"/>
          <w:szCs w:val="24"/>
          <w:lang w:val="en-US"/>
        </w:rPr>
        <w:t>: Russian civil law, the Institute of real rights, limited real rights, the right of economic management, the right of operational management, the right of lifetime inherited ownership of land, easement, acquisition limitation, collateral law, the right of retention.</w:t>
      </w:r>
    </w:p>
    <w:p w14:paraId="27061C50" w14:textId="77777777" w:rsidR="001B6C3B" w:rsidRDefault="001B6C3B" w:rsidP="001B6C3B">
      <w:pPr>
        <w:spacing w:after="0" w:line="240" w:lineRule="auto"/>
        <w:ind w:firstLine="709"/>
        <w:jc w:val="both"/>
        <w:rPr>
          <w:rFonts w:ascii="Times New Roman" w:hAnsi="Times New Roman" w:cs="Times New Roman"/>
          <w:b/>
          <w:sz w:val="24"/>
          <w:szCs w:val="24"/>
          <w:lang w:val="en-US"/>
        </w:rPr>
      </w:pPr>
    </w:p>
    <w:p w14:paraId="3078E275"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Гражданском кодексе Российской Федерации (далее – ГК РФ), в частности, в статье 216 закреплены вещные права, которыми наряду с правом собственности являются право пожизненного наследуемого владения земельным участком, право постоянного (бессрочного) пользования земельным участком, сервитуты, право хозяйственного ведения имуществом и право оперативного управления имуществом. Стоит заметить, данный перечень не выглядит завершенным. К ограниченным вещным правам в свою очередь могут быть причислены право пожизненного проживания в жилом помещении, принадлежащем другому лицу в </w:t>
      </w:r>
      <w:r>
        <w:rPr>
          <w:rFonts w:ascii="Times New Roman" w:hAnsi="Times New Roman" w:cs="Times New Roman"/>
          <w:sz w:val="24"/>
          <w:szCs w:val="24"/>
        </w:rPr>
        <w:lastRenderedPageBreak/>
        <w:t>соответствии с договором ренты (пожизненное содержание с иждивением) или завещательным отказом (ст. 1137 ГК РФ); право залога (ст. 334 ГК РФ); право удержания (ст. 359 ГК РФ) и другие.</w:t>
      </w:r>
    </w:p>
    <w:p w14:paraId="28948197" w14:textId="319EA6CD"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Прежде чем перейти к разбору отдельных видов ограниченных вещных прав, необходимым видится остановиться на определении. Ограниченное вещное право это прямо установленное законом и зарегистрированное в государственном реестре абсолютное гражданское право, закрепляющее ограниченное хозяйственное господство над чужой недвижимой вещью.</w:t>
      </w:r>
      <w:r>
        <w:rPr>
          <w:rStyle w:val="a7"/>
          <w:rFonts w:ascii="Times New Roman" w:hAnsi="Times New Roman" w:cs="Times New Roman"/>
          <w:sz w:val="24"/>
          <w:szCs w:val="24"/>
        </w:rPr>
        <w:footnoteReference w:id="161"/>
      </w:r>
      <w:r w:rsidR="008A73CF">
        <w:rPr>
          <w:rFonts w:ascii="Times New Roman" w:hAnsi="Times New Roman" w:cs="Times New Roman"/>
          <w:sz w:val="24"/>
          <w:szCs w:val="24"/>
        </w:rPr>
        <w:t xml:space="preserve"> Следует при этом иметь ввиду, что на некоторое имущество, в частности, на земельные участки недр континентального шельфа право собственности просто не может быть установлено</w:t>
      </w:r>
      <w:r w:rsidR="008A73CF">
        <w:rPr>
          <w:rStyle w:val="a7"/>
          <w:rFonts w:ascii="Times New Roman" w:hAnsi="Times New Roman" w:cs="Times New Roman"/>
          <w:sz w:val="24"/>
          <w:szCs w:val="24"/>
        </w:rPr>
        <w:footnoteReference w:id="162"/>
      </w:r>
      <w:r w:rsidR="008A73CF">
        <w:rPr>
          <w:rFonts w:ascii="Times New Roman" w:hAnsi="Times New Roman" w:cs="Times New Roman"/>
          <w:sz w:val="24"/>
          <w:szCs w:val="24"/>
        </w:rPr>
        <w:t>.</w:t>
      </w:r>
    </w:p>
    <w:p w14:paraId="643C4496"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Остановимся более конкретно на некоторых видах ограниченных вещных прав.</w:t>
      </w:r>
    </w:p>
    <w:p w14:paraId="77201A50"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1) Право хозяйственного ведения и право оперативного управления. Отношения, возникающие на основе этих вещных прав, имеют следующий субъектный состав: пользователь чужого имущества, которым выступает юридическое лицо, а также собственник имущества, закрепивший его за юридическим лицом. </w:t>
      </w:r>
    </w:p>
    <w:p w14:paraId="259E5784"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Субъектами в праве хозяйственного ведения могут быть государственные или муниципальные предприятия (ст. 294 ГК), в праве оперативного управления – учреждения и казенные предприятия (ст. 296 ГК).</w:t>
      </w:r>
    </w:p>
    <w:p w14:paraId="46901E85"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Существуют определенные различия в праве оперативного управления и праве хозяйственного ведения. С точки зрения налагаемых ограничений субъектам права хозяйственного ведения предоставлено больше свободы. Например, субъекты в праве хозяйственного ведения не ограничены в распоряжении доходом, в то время как в праве оперативного управления субъекты ограничены лишь теми целями деятельности, которые указаны в учредительных документах.</w:t>
      </w:r>
    </w:p>
    <w:p w14:paraId="21EFBDAB"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 Право пожизненного наследуемого владения земельным участком. Данное право впервые было закреплено в отечественном законодательстве Основами законодательства СССР и союзных республик о земле. В данный момент времени регулируется нормами ГК РФ и Земельного кодекса Российской Федерации (далее – ЗК РФ).</w:t>
      </w:r>
    </w:p>
    <w:p w14:paraId="054C0B70"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праве пожизненного наследуемого владения земельным участком субъектами являются исключительно лишь физические лица, а именно граждане Российской Федерации, получившие земельные участки на праве пожизненного наследуемого владения до введения в действие ЗК РФ либо в порядке наследования.</w:t>
      </w:r>
    </w:p>
    <w:p w14:paraId="515F71A6"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Землепользователи вправе владеть и пользоваться земельным участком, возводить на земельном участке здания и сооружения, иное недвижимое имущество, приобретая на это имущество право собственности, передавать свои права на участок по наследству.</w:t>
      </w:r>
    </w:p>
    <w:p w14:paraId="5597BC5A"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Распоряжение земельным участком, находящимся на праве пожизненного наследуемого владения, не допускается. Исключение составляет переход прав на земельный участок по наследству.</w:t>
      </w:r>
    </w:p>
    <w:p w14:paraId="3921BABD"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Данное вещное право в скором времени должно полностью исчезнуть. Именно на это нацелен ЗК РФ, так как земельные участки на праве пожизненного наследуемого владения больше не предоставляются.</w:t>
      </w:r>
    </w:p>
    <w:p w14:paraId="5E05A9AB"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 Сервитут. В отличие от прав арендаторов и ссудополучателей земельных участков, вещно-правовая природа сервитутов никем не оспаривается. В самом упрощенном виде сервитут представляет собой право ограниченного пользования чужим объектом недвижимого имущества.</w:t>
      </w:r>
      <w:r>
        <w:rPr>
          <w:rStyle w:val="a7"/>
          <w:rFonts w:ascii="Times New Roman" w:hAnsi="Times New Roman" w:cs="Times New Roman"/>
          <w:sz w:val="24"/>
          <w:szCs w:val="24"/>
        </w:rPr>
        <w:footnoteReference w:id="163"/>
      </w:r>
    </w:p>
    <w:p w14:paraId="1A4AEA21"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дореволюционном российском законодательстве термина «сервитут» не существовало. Сервитутами фактически являлись предусмотренные Сводом законов </w:t>
      </w:r>
      <w:r>
        <w:rPr>
          <w:rFonts w:ascii="Times New Roman" w:hAnsi="Times New Roman" w:cs="Times New Roman"/>
          <w:sz w:val="24"/>
          <w:szCs w:val="24"/>
        </w:rPr>
        <w:lastRenderedPageBreak/>
        <w:t>гражданских право угодий в чужом имуществе и право участия в пользовании и выгодах чужого имущества.</w:t>
      </w:r>
    </w:p>
    <w:p w14:paraId="4704A1C5"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Перечень сервитутов, которые могли устанавливаться, был гораздо более узким в сравнении как с римским, так и с современным зарубежным правом. В частности, закон устанавливал следующие разновидности сервитутов: право ставить ульи в чужом лесу; право</w:t>
      </w:r>
    </w:p>
    <w:p w14:paraId="17BEDBBC"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въезда в лес; право заниматься бобровым промыслом; право примкнуть плотину к чужому берегу; право выводить окна во двор соседа и некоторые другие.</w:t>
      </w:r>
    </w:p>
    <w:p w14:paraId="1000749F"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После событий 1917 года развитие сервитутов приостановилось, так как отсутствует необходимость и сама по себе возможность установления сервитутов.</w:t>
      </w:r>
    </w:p>
    <w:p w14:paraId="7C86A983"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настоящее время институт сервитутов признан на законодательном уровне и содержится в ГК РФ (ст. 274-277 ГК РФ). </w:t>
      </w:r>
    </w:p>
    <w:p w14:paraId="5521F7CE"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Но, несмотря на это, существуют определенные проблемы в данном институте. В частности, ГК РФ не дает четкого понимания определения сервитута. Из-за этого возникают споры на предмет того, является ли сервитут ограниченным вещным правом или же обязательственным.</w:t>
      </w:r>
    </w:p>
    <w:p w14:paraId="132C855C"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Причина видится в том, что распространение практики применения сервитутов в нашей стране происходит в условиях недостаточной законодательной регламентации, что вызывает значительные трудности.</w:t>
      </w:r>
      <w:r>
        <w:rPr>
          <w:rStyle w:val="a7"/>
          <w:rFonts w:ascii="Times New Roman" w:hAnsi="Times New Roman" w:cs="Times New Roman"/>
          <w:sz w:val="24"/>
          <w:szCs w:val="24"/>
        </w:rPr>
        <w:footnoteReference w:id="164"/>
      </w:r>
      <w:r>
        <w:rPr>
          <w:rFonts w:ascii="Times New Roman" w:hAnsi="Times New Roman" w:cs="Times New Roman"/>
          <w:sz w:val="24"/>
          <w:szCs w:val="24"/>
        </w:rPr>
        <w:t xml:space="preserve"> </w:t>
      </w:r>
    </w:p>
    <w:p w14:paraId="2E04E700"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Также существует проблема способов установления сервитута. </w:t>
      </w:r>
    </w:p>
    <w:p w14:paraId="0D1EB6E8"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п. 3 ст. 274 ГК РФ закрепляются два способа установления сервитута: во-первых, по соглашению между лицом, требующим установления сервитута, и собственником соседнего участка и во-вторых, в судебном порядке по иску лица, требующего установления сервитута.</w:t>
      </w:r>
    </w:p>
    <w:p w14:paraId="6E5B95D4"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Существует мнение о необходимости исключения судебного установления сервитута. Но также есть и другое мнение, например, М. М. Пестов считает, что установление принудительного сервитута является реакцией законодателя на потребности современного общества, обусловленные увеличением численности населения при сохранении общей сухопутной площади земного шара.</w:t>
      </w:r>
      <w:r>
        <w:rPr>
          <w:rStyle w:val="a7"/>
          <w:rFonts w:ascii="Times New Roman" w:hAnsi="Times New Roman" w:cs="Times New Roman"/>
          <w:sz w:val="24"/>
          <w:szCs w:val="24"/>
        </w:rPr>
        <w:footnoteReference w:id="165"/>
      </w:r>
    </w:p>
    <w:p w14:paraId="4A8FE505"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Если говорить о возможности возникновения сервитута в силу приобретательной давности, то это видится не совсем возможным. Сервитут является ограниченным вещным правом, следовательно, он не дает правообладателю возможности владения и распоряжения.</w:t>
      </w:r>
    </w:p>
    <w:p w14:paraId="0D51C62A"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Регулирование сервитута осуществляется не только ГК РФ, но и ЗК РФ, где содержится ряд статей, определяющих особенности установления сервитута (ст. 11.8, 23, 39.23-39.26). </w:t>
      </w:r>
    </w:p>
    <w:p w14:paraId="152BE877"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Указанные правовые нормы дополняют представления о сервитуте. Однако остаются неурегулированными многие очень важные вопросы, такие как определение соразмерной платы за сервитут, границы установления сервитута и т.д.</w:t>
      </w:r>
      <w:r>
        <w:rPr>
          <w:rStyle w:val="a7"/>
          <w:rFonts w:ascii="Times New Roman" w:hAnsi="Times New Roman" w:cs="Times New Roman"/>
          <w:sz w:val="24"/>
          <w:szCs w:val="24"/>
        </w:rPr>
        <w:footnoteReference w:id="166"/>
      </w:r>
    </w:p>
    <w:p w14:paraId="5081E157"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Тем не менее, институт сервитутов развивается, а существующие проблемы показывают лишь области, которые законодателю необходимо доработать.</w:t>
      </w:r>
    </w:p>
    <w:p w14:paraId="21AEA4B8"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4) Обеспечительные вещные права. Такими правами являются залоговое право и право удержания.</w:t>
      </w:r>
    </w:p>
    <w:p w14:paraId="43F1DFB7"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российском законодательстве регулирование залогового права осуществляется в ГК РФ и ФЗ №102 "Об ипотеке (залоге недвижимости)".</w:t>
      </w:r>
    </w:p>
    <w:p w14:paraId="31204427"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Под залогом понимается преимущественное право на получение удовлетворения из стоимости заложенного имущества перед другими кредиторами залогодателя, за изъятиями, установленными законом.</w:t>
      </w:r>
      <w:r>
        <w:rPr>
          <w:rStyle w:val="a7"/>
          <w:rFonts w:ascii="Times New Roman" w:hAnsi="Times New Roman" w:cs="Times New Roman"/>
          <w:sz w:val="24"/>
          <w:szCs w:val="24"/>
        </w:rPr>
        <w:footnoteReference w:id="167"/>
      </w:r>
    </w:p>
    <w:p w14:paraId="3DE34963"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В науке существуют споры на предмет того, является ли залоговое право вещным или же обязательственным.</w:t>
      </w:r>
    </w:p>
    <w:p w14:paraId="53831DCD"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Можно сделать вывод, что залог материальных вещей относится к ограниченным вещным правам, а залог прав можно считать обязательственным правом.</w:t>
      </w:r>
    </w:p>
    <w:p w14:paraId="681B1C35"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Вещно-правовую характеристику составляют:</w:t>
      </w:r>
    </w:p>
    <w:p w14:paraId="73161C2E"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1) материальность предмета;</w:t>
      </w:r>
    </w:p>
    <w:p w14:paraId="32440560"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 свойство следования;</w:t>
      </w:r>
    </w:p>
    <w:p w14:paraId="768F06AB"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 абсолютный характер защиты этого права;</w:t>
      </w:r>
    </w:p>
    <w:p w14:paraId="67FFC34F"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4) свойство преимущества;</w:t>
      </w:r>
    </w:p>
    <w:p w14:paraId="59F48AD5"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5) залог – это всегда право на чужую вещь;</w:t>
      </w:r>
    </w:p>
    <w:p w14:paraId="157F051E"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6) основания и порядок возникновения определены законом;</w:t>
      </w:r>
    </w:p>
    <w:p w14:paraId="44F40D6A"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7) характер и содержание залоговых правоотношений также определены непосредственно законом и зачастую не могут быть изменены договором.</w:t>
      </w:r>
      <w:r>
        <w:rPr>
          <w:rStyle w:val="a7"/>
          <w:rFonts w:ascii="Times New Roman" w:hAnsi="Times New Roman" w:cs="Times New Roman"/>
          <w:sz w:val="24"/>
          <w:szCs w:val="24"/>
        </w:rPr>
        <w:footnoteReference w:id="168"/>
      </w:r>
    </w:p>
    <w:p w14:paraId="61B37A37"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Право удержание. Основания возникновения данного права содержатся в статье 359 ГК РФ. </w:t>
      </w:r>
    </w:p>
    <w:p w14:paraId="3D648099"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О том, что удержание имеет вещно-правовую природу, говорят такие ученые, как Е.А. Суханов, В.А. Белов, В.А. Микрюков, Л.В. Щенникова.</w:t>
      </w:r>
    </w:p>
    <w:p w14:paraId="53A647A5"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Удержание имеет определенные черты, отличающие его от залога:</w:t>
      </w:r>
    </w:p>
    <w:p w14:paraId="2D176B85"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1) Залогом обеспечиваются требования кредитора, строго определенные в договоре залога или указанные в законе (при установлении залога в силу закона). Требование, обеспечиваемое правом удержания, становится очевидным только из нарушения, допускаемого должником.</w:t>
      </w:r>
    </w:p>
    <w:p w14:paraId="76849A57"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 Залог обеспечивает требования кредитора до наступления основания для обращения взыскания на заложенное имущество, т.е. до нарушения должником обеспечиваемого обязательства. Право удержания обеспечивает требования кредитора после допущенного должником нарушения обеспечиваемого обязательства, то есть после возникновения основания для обращения взыскания на удерживаемую вещь.</w:t>
      </w:r>
      <w:r>
        <w:rPr>
          <w:rStyle w:val="a7"/>
          <w:rFonts w:ascii="Times New Roman" w:hAnsi="Times New Roman" w:cs="Times New Roman"/>
          <w:sz w:val="24"/>
          <w:szCs w:val="24"/>
        </w:rPr>
        <w:footnoteReference w:id="169"/>
      </w:r>
    </w:p>
    <w:p w14:paraId="5821F151"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Таким образом, хочется надеяться, что в скором времени статья 216 ГК РФ дополнится еще некоторыми вещными правами, которые в настоящее время в этой статье не содержатся.</w:t>
      </w:r>
    </w:p>
    <w:p w14:paraId="2933980E" w14:textId="77777777" w:rsidR="001B6C3B" w:rsidRDefault="001B6C3B" w:rsidP="001B6C3B">
      <w:pPr>
        <w:spacing w:after="0" w:line="240" w:lineRule="auto"/>
        <w:ind w:firstLine="709"/>
        <w:jc w:val="both"/>
        <w:rPr>
          <w:rFonts w:ascii="Times New Roman" w:hAnsi="Times New Roman" w:cs="Times New Roman"/>
          <w:sz w:val="24"/>
          <w:szCs w:val="24"/>
        </w:rPr>
      </w:pPr>
    </w:p>
    <w:p w14:paraId="3B5D0C94" w14:textId="77777777" w:rsidR="001B6C3B" w:rsidRDefault="001B6C3B" w:rsidP="001B6C3B">
      <w:pPr>
        <w:spacing w:after="0" w:line="240" w:lineRule="auto"/>
        <w:ind w:firstLine="709"/>
        <w:jc w:val="both"/>
        <w:rPr>
          <w:rFonts w:ascii="Times New Roman" w:hAnsi="Times New Roman" w:cs="Times New Roman"/>
          <w:b/>
          <w:sz w:val="24"/>
          <w:szCs w:val="24"/>
        </w:rPr>
      </w:pPr>
      <w:r>
        <w:rPr>
          <w:rFonts w:ascii="Times New Roman" w:hAnsi="Times New Roman" w:cs="Times New Roman"/>
          <w:b/>
          <w:sz w:val="24"/>
          <w:szCs w:val="24"/>
        </w:rPr>
        <w:t>БИБЛИОГРАФИЧЕСКИЙ СПИСОК</w:t>
      </w:r>
    </w:p>
    <w:p w14:paraId="7BB86C25"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1) </w:t>
      </w:r>
      <w:r>
        <w:rPr>
          <w:rFonts w:ascii="Times New Roman" w:hAnsi="Times New Roman" w:cs="Times New Roman"/>
          <w:i/>
          <w:sz w:val="24"/>
          <w:szCs w:val="24"/>
        </w:rPr>
        <w:t xml:space="preserve">Гайбатова К. Д., Айгумова </w:t>
      </w:r>
      <w:r>
        <w:rPr>
          <w:rFonts w:ascii="Times New Roman" w:hAnsi="Times New Roman" w:cs="Times New Roman"/>
          <w:sz w:val="24"/>
          <w:szCs w:val="24"/>
        </w:rPr>
        <w:t xml:space="preserve">Сервитуты в российском гражданском праве // Государственная служба и кадры. – 2019. – №1. – С. 76 – 80. </w:t>
      </w:r>
    </w:p>
    <w:p w14:paraId="6D19B43C"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2) </w:t>
      </w:r>
      <w:r>
        <w:rPr>
          <w:rFonts w:ascii="Times New Roman" w:hAnsi="Times New Roman" w:cs="Times New Roman"/>
          <w:i/>
          <w:sz w:val="24"/>
          <w:szCs w:val="24"/>
        </w:rPr>
        <w:t>Пестов М.М.</w:t>
      </w:r>
      <w:r>
        <w:rPr>
          <w:rFonts w:ascii="Times New Roman" w:hAnsi="Times New Roman" w:cs="Times New Roman"/>
          <w:sz w:val="24"/>
          <w:szCs w:val="24"/>
        </w:rPr>
        <w:t xml:space="preserve"> К вопросу о способах установления сервитута // Эволюция российского права: Сб. ст. XVI Междунар. науч. конф. молодых ученых и студентов. – 2018. –  С. 183—185.</w:t>
      </w:r>
    </w:p>
    <w:p w14:paraId="0E24581D"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3) </w:t>
      </w:r>
      <w:r>
        <w:rPr>
          <w:rFonts w:ascii="Times New Roman" w:hAnsi="Times New Roman" w:cs="Times New Roman"/>
          <w:i/>
          <w:sz w:val="24"/>
          <w:szCs w:val="24"/>
        </w:rPr>
        <w:t>Суханов Е. А</w:t>
      </w:r>
      <w:r>
        <w:rPr>
          <w:rFonts w:ascii="Times New Roman" w:hAnsi="Times New Roman" w:cs="Times New Roman"/>
          <w:sz w:val="24"/>
          <w:szCs w:val="24"/>
        </w:rPr>
        <w:t>. Вещное право: научно-познавательный очерк / Е. А. Суханов. ‒ М.: Статут, 2017. — 560 с.</w:t>
      </w:r>
    </w:p>
    <w:p w14:paraId="2354FCD2" w14:textId="26F67E3D"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4) </w:t>
      </w:r>
      <w:r>
        <w:rPr>
          <w:rFonts w:ascii="Times New Roman" w:hAnsi="Times New Roman" w:cs="Times New Roman"/>
          <w:i/>
          <w:sz w:val="24"/>
          <w:szCs w:val="24"/>
        </w:rPr>
        <w:t>Формакидов Д. А.</w:t>
      </w:r>
      <w:r>
        <w:rPr>
          <w:rFonts w:ascii="Times New Roman" w:hAnsi="Times New Roman" w:cs="Times New Roman"/>
          <w:sz w:val="24"/>
          <w:szCs w:val="24"/>
        </w:rPr>
        <w:t xml:space="preserve"> Вещное право : учебное пособие / 2-е изд., доп. — Москва : ИНФРА-М, 2020. — 184 с. – (Высшее образование: Бакалавриат).</w:t>
      </w:r>
    </w:p>
    <w:p w14:paraId="5955C340" w14:textId="71B3CBF0" w:rsidR="008A73CF" w:rsidRDefault="008A73CF" w:rsidP="001B6C3B">
      <w:pPr>
        <w:spacing w:after="0" w:line="240" w:lineRule="auto"/>
        <w:ind w:firstLine="709"/>
        <w:jc w:val="both"/>
        <w:rPr>
          <w:rFonts w:ascii="Times New Roman" w:hAnsi="Times New Roman" w:cs="Times New Roman"/>
          <w:sz w:val="24"/>
          <w:szCs w:val="24"/>
        </w:rPr>
      </w:pPr>
      <w:r w:rsidRPr="008A73CF">
        <w:rPr>
          <w:rFonts w:ascii="Times New Roman" w:hAnsi="Times New Roman" w:cs="Times New Roman"/>
          <w:i/>
        </w:rPr>
        <w:t>Ховрина Л.В., Поленов Р.В.</w:t>
      </w:r>
      <w:r w:rsidRPr="008A73CF">
        <w:rPr>
          <w:rFonts w:ascii="Times New Roman" w:hAnsi="Times New Roman" w:cs="Times New Roman"/>
        </w:rPr>
        <w:t xml:space="preserve"> Источники правового регулирования недропользования // Власть закона. – 2016. – С. 131</w:t>
      </w:r>
      <w:r>
        <w:rPr>
          <w:rFonts w:ascii="Times New Roman" w:hAnsi="Times New Roman" w:cs="Times New Roman"/>
        </w:rPr>
        <w:t>-138</w:t>
      </w:r>
      <w:r w:rsidRPr="008A73CF">
        <w:rPr>
          <w:rFonts w:ascii="Times New Roman" w:hAnsi="Times New Roman" w:cs="Times New Roman"/>
        </w:rPr>
        <w:t>.</w:t>
      </w:r>
    </w:p>
    <w:p w14:paraId="0E73C52E"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5)  </w:t>
      </w:r>
      <w:r>
        <w:rPr>
          <w:rFonts w:ascii="Times New Roman" w:hAnsi="Times New Roman" w:cs="Times New Roman"/>
          <w:i/>
          <w:sz w:val="24"/>
          <w:szCs w:val="24"/>
        </w:rPr>
        <w:t>Юсибов Г.Б</w:t>
      </w:r>
      <w:r>
        <w:rPr>
          <w:rFonts w:ascii="Times New Roman" w:hAnsi="Times New Roman" w:cs="Times New Roman"/>
          <w:sz w:val="24"/>
          <w:szCs w:val="24"/>
        </w:rPr>
        <w:t>. Понятие и юридическая природа сервитута // Вестник Владимирского института. – 2010. – № 3 (16). –  С. 178—184.</w:t>
      </w:r>
    </w:p>
    <w:p w14:paraId="0A6034BB"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6) Гражданское право: учебник: в 2 т. / отв. ред. Е.А. Суханов. М.: БЕК, 2000.  Т. 2, полутом 1. – С. 140.</w:t>
      </w:r>
    </w:p>
    <w:p w14:paraId="27D39432" w14:textId="77777777" w:rsidR="001B6C3B" w:rsidRDefault="001B6C3B" w:rsidP="001B6C3B">
      <w:pPr>
        <w:spacing w:after="0" w:line="240" w:lineRule="auto"/>
        <w:rPr>
          <w:rFonts w:ascii="Times New Roman" w:hAnsi="Times New Roman" w:cs="Times New Roman"/>
          <w:sz w:val="24"/>
          <w:szCs w:val="24"/>
        </w:rPr>
        <w:sectPr w:rsidR="001B6C3B">
          <w:footnotePr>
            <w:numRestart w:val="eachPage"/>
          </w:footnotePr>
          <w:pgSz w:w="11906" w:h="16838"/>
          <w:pgMar w:top="1134" w:right="1134" w:bottom="1134" w:left="1134" w:header="709" w:footer="709" w:gutter="0"/>
          <w:cols w:space="720"/>
        </w:sectPr>
      </w:pPr>
    </w:p>
    <w:p w14:paraId="7AE906B8" w14:textId="77777777" w:rsidR="001B6C3B" w:rsidRDefault="001B6C3B" w:rsidP="001B6C3B">
      <w:pPr>
        <w:spacing w:after="0" w:line="240" w:lineRule="auto"/>
        <w:ind w:left="4395"/>
        <w:jc w:val="both"/>
        <w:rPr>
          <w:rFonts w:ascii="Times New Roman" w:hAnsi="Times New Roman" w:cs="Times New Roman"/>
          <w:b/>
          <w:i/>
          <w:sz w:val="24"/>
          <w:szCs w:val="24"/>
        </w:rPr>
      </w:pPr>
      <w:r>
        <w:rPr>
          <w:rFonts w:ascii="Times New Roman" w:hAnsi="Times New Roman" w:cs="Times New Roman"/>
          <w:b/>
          <w:i/>
          <w:sz w:val="24"/>
          <w:szCs w:val="24"/>
        </w:rPr>
        <w:lastRenderedPageBreak/>
        <w:t>УДК 347.214</w:t>
      </w:r>
    </w:p>
    <w:p w14:paraId="58B3C8C3" w14:textId="77777777" w:rsidR="001B6C3B" w:rsidRDefault="001B6C3B" w:rsidP="001B6C3B">
      <w:pPr>
        <w:spacing w:after="0" w:line="240" w:lineRule="auto"/>
        <w:ind w:left="4395"/>
        <w:jc w:val="both"/>
        <w:rPr>
          <w:rFonts w:ascii="Times New Roman" w:hAnsi="Times New Roman" w:cs="Times New Roman"/>
          <w:b/>
          <w:sz w:val="24"/>
          <w:szCs w:val="24"/>
        </w:rPr>
      </w:pPr>
    </w:p>
    <w:p w14:paraId="0429CDDD" w14:textId="77777777" w:rsidR="001B6C3B" w:rsidRDefault="001B6C3B" w:rsidP="001B6C3B">
      <w:pPr>
        <w:spacing w:after="0" w:line="240" w:lineRule="auto"/>
        <w:ind w:left="4395"/>
        <w:jc w:val="both"/>
        <w:rPr>
          <w:rFonts w:ascii="Times New Roman" w:hAnsi="Times New Roman" w:cs="Times New Roman"/>
          <w:b/>
          <w:sz w:val="24"/>
          <w:szCs w:val="24"/>
        </w:rPr>
      </w:pPr>
      <w:r>
        <w:rPr>
          <w:rFonts w:ascii="Times New Roman" w:hAnsi="Times New Roman" w:cs="Times New Roman"/>
          <w:b/>
          <w:sz w:val="24"/>
          <w:szCs w:val="24"/>
        </w:rPr>
        <w:t>Ибрагимов Тимур Тельманович</w:t>
      </w:r>
    </w:p>
    <w:p w14:paraId="52CB55C6" w14:textId="77777777" w:rsidR="001B6C3B" w:rsidRDefault="001B6C3B" w:rsidP="001B6C3B">
      <w:pPr>
        <w:spacing w:after="0" w:line="240" w:lineRule="auto"/>
        <w:ind w:left="4395"/>
        <w:jc w:val="both"/>
        <w:rPr>
          <w:rFonts w:ascii="Times New Roman" w:hAnsi="Times New Roman" w:cs="Times New Roman"/>
          <w:b/>
          <w:sz w:val="24"/>
          <w:szCs w:val="24"/>
        </w:rPr>
      </w:pPr>
      <w:r>
        <w:rPr>
          <w:rFonts w:ascii="Times New Roman" w:hAnsi="Times New Roman" w:cs="Times New Roman"/>
          <w:b/>
          <w:sz w:val="24"/>
          <w:szCs w:val="24"/>
          <w:lang w:val="en-US"/>
        </w:rPr>
        <w:t>Ibragimov</w:t>
      </w:r>
      <w:r w:rsidRPr="00430C1C">
        <w:rPr>
          <w:rFonts w:ascii="Times New Roman" w:hAnsi="Times New Roman" w:cs="Times New Roman"/>
          <w:b/>
          <w:sz w:val="24"/>
          <w:szCs w:val="24"/>
        </w:rPr>
        <w:t xml:space="preserve"> </w:t>
      </w:r>
      <w:r>
        <w:rPr>
          <w:rFonts w:ascii="Times New Roman" w:hAnsi="Times New Roman" w:cs="Times New Roman"/>
          <w:b/>
          <w:sz w:val="24"/>
          <w:szCs w:val="24"/>
          <w:lang w:val="en-US"/>
        </w:rPr>
        <w:t>Timur</w:t>
      </w:r>
      <w:r w:rsidRPr="00430C1C">
        <w:rPr>
          <w:rFonts w:ascii="Times New Roman" w:hAnsi="Times New Roman" w:cs="Times New Roman"/>
          <w:b/>
          <w:sz w:val="24"/>
          <w:szCs w:val="24"/>
        </w:rPr>
        <w:t xml:space="preserve"> </w:t>
      </w:r>
      <w:r>
        <w:rPr>
          <w:rFonts w:ascii="Times New Roman" w:hAnsi="Times New Roman" w:cs="Times New Roman"/>
          <w:b/>
          <w:sz w:val="24"/>
          <w:szCs w:val="24"/>
          <w:lang w:val="en-US"/>
        </w:rPr>
        <w:t>Telmanovich</w:t>
      </w:r>
    </w:p>
    <w:p w14:paraId="5DA67980" w14:textId="77777777" w:rsidR="001B6C3B" w:rsidRDefault="001B6C3B" w:rsidP="001B6C3B">
      <w:pPr>
        <w:spacing w:after="0" w:line="240" w:lineRule="auto"/>
        <w:ind w:left="4395"/>
        <w:jc w:val="both"/>
        <w:rPr>
          <w:rFonts w:ascii="Times New Roman" w:hAnsi="Times New Roman" w:cs="Times New Roman"/>
          <w:sz w:val="24"/>
          <w:szCs w:val="24"/>
        </w:rPr>
      </w:pPr>
      <w:r>
        <w:rPr>
          <w:rFonts w:ascii="Times New Roman" w:hAnsi="Times New Roman" w:cs="Times New Roman"/>
          <w:sz w:val="24"/>
          <w:szCs w:val="24"/>
        </w:rPr>
        <w:t>Магистрант</w:t>
      </w:r>
    </w:p>
    <w:p w14:paraId="569004E8" w14:textId="77777777" w:rsidR="001B6C3B" w:rsidRDefault="001B6C3B" w:rsidP="001B6C3B">
      <w:pPr>
        <w:spacing w:after="0" w:line="240" w:lineRule="auto"/>
        <w:ind w:left="4395"/>
        <w:jc w:val="both"/>
        <w:rPr>
          <w:rFonts w:ascii="Times New Roman" w:hAnsi="Times New Roman" w:cs="Times New Roman"/>
          <w:sz w:val="24"/>
          <w:szCs w:val="24"/>
        </w:rPr>
      </w:pPr>
      <w:r>
        <w:rPr>
          <w:rFonts w:ascii="Times New Roman" w:hAnsi="Times New Roman" w:cs="Times New Roman"/>
          <w:sz w:val="24"/>
          <w:szCs w:val="24"/>
        </w:rPr>
        <w:t xml:space="preserve"> Федеральное государственное бюджетное </w:t>
      </w:r>
    </w:p>
    <w:p w14:paraId="6E191737" w14:textId="77777777" w:rsidR="001B6C3B" w:rsidRDefault="001B6C3B" w:rsidP="001B6C3B">
      <w:pPr>
        <w:spacing w:after="0" w:line="240" w:lineRule="auto"/>
        <w:ind w:left="4395"/>
        <w:jc w:val="both"/>
        <w:rPr>
          <w:rFonts w:ascii="Times New Roman" w:hAnsi="Times New Roman" w:cs="Times New Roman"/>
          <w:sz w:val="24"/>
          <w:szCs w:val="24"/>
        </w:rPr>
      </w:pPr>
      <w:r>
        <w:rPr>
          <w:rFonts w:ascii="Times New Roman" w:hAnsi="Times New Roman" w:cs="Times New Roman"/>
          <w:sz w:val="24"/>
          <w:szCs w:val="24"/>
        </w:rPr>
        <w:t>образовательное учреждение высшего образования</w:t>
      </w:r>
    </w:p>
    <w:p w14:paraId="539C7823" w14:textId="77777777" w:rsidR="001B6C3B" w:rsidRDefault="001B6C3B" w:rsidP="001B6C3B">
      <w:pPr>
        <w:spacing w:after="0" w:line="240" w:lineRule="auto"/>
        <w:ind w:left="4395"/>
        <w:jc w:val="both"/>
        <w:rPr>
          <w:rFonts w:ascii="Times New Roman" w:hAnsi="Times New Roman" w:cs="Times New Roman"/>
          <w:sz w:val="24"/>
          <w:szCs w:val="24"/>
        </w:rPr>
      </w:pPr>
      <w:r>
        <w:rPr>
          <w:rFonts w:ascii="Times New Roman" w:hAnsi="Times New Roman" w:cs="Times New Roman"/>
          <w:sz w:val="24"/>
          <w:szCs w:val="24"/>
        </w:rPr>
        <w:t>«Кубанский государственный аграрный университет</w:t>
      </w:r>
    </w:p>
    <w:p w14:paraId="34B9CAEE" w14:textId="77777777" w:rsidR="001B6C3B" w:rsidRDefault="001B6C3B" w:rsidP="001B6C3B">
      <w:pPr>
        <w:spacing w:after="0" w:line="240" w:lineRule="auto"/>
        <w:ind w:left="4395"/>
        <w:jc w:val="both"/>
        <w:rPr>
          <w:rFonts w:ascii="Times New Roman" w:hAnsi="Times New Roman" w:cs="Times New Roman"/>
          <w:sz w:val="24"/>
          <w:szCs w:val="24"/>
        </w:rPr>
      </w:pPr>
      <w:r>
        <w:rPr>
          <w:rFonts w:ascii="Times New Roman" w:hAnsi="Times New Roman" w:cs="Times New Roman"/>
          <w:sz w:val="24"/>
          <w:szCs w:val="24"/>
        </w:rPr>
        <w:t>имени И.Т. Трубилина»</w:t>
      </w:r>
    </w:p>
    <w:p w14:paraId="56AADBBC" w14:textId="77777777" w:rsidR="001B6C3B" w:rsidRDefault="001B6C3B" w:rsidP="001B6C3B">
      <w:pPr>
        <w:spacing w:after="0" w:line="240" w:lineRule="auto"/>
        <w:ind w:left="4395"/>
        <w:jc w:val="both"/>
        <w:rPr>
          <w:rFonts w:ascii="Times New Roman" w:hAnsi="Times New Roman" w:cs="Times New Roman"/>
          <w:sz w:val="24"/>
          <w:szCs w:val="24"/>
          <w:lang w:val="en-US"/>
        </w:rPr>
      </w:pPr>
      <w:r>
        <w:rPr>
          <w:rFonts w:ascii="Times New Roman" w:hAnsi="Times New Roman" w:cs="Times New Roman"/>
          <w:sz w:val="24"/>
          <w:szCs w:val="24"/>
          <w:lang w:val="en-US"/>
        </w:rPr>
        <w:t>Federal State Budgetary Educational Institution of  Higher Education</w:t>
      </w:r>
    </w:p>
    <w:p w14:paraId="73BC9BE0" w14:textId="77777777" w:rsidR="001B6C3B" w:rsidRDefault="001B6C3B" w:rsidP="001B6C3B">
      <w:pPr>
        <w:spacing w:after="0" w:line="240" w:lineRule="auto"/>
        <w:ind w:left="4395"/>
        <w:jc w:val="both"/>
        <w:rPr>
          <w:rFonts w:ascii="Times New Roman" w:hAnsi="Times New Roman" w:cs="Times New Roman"/>
          <w:sz w:val="24"/>
          <w:szCs w:val="24"/>
          <w:lang w:val="en-US"/>
        </w:rPr>
      </w:pPr>
      <w:r>
        <w:rPr>
          <w:rFonts w:ascii="Times New Roman" w:hAnsi="Times New Roman" w:cs="Times New Roman"/>
          <w:sz w:val="24"/>
          <w:szCs w:val="24"/>
          <w:lang w:val="en-US"/>
        </w:rPr>
        <w:t>«Kuban State Agrarian University named after I.T. Trubilin»</w:t>
      </w:r>
    </w:p>
    <w:p w14:paraId="25B4E5C0" w14:textId="77777777" w:rsidR="001B6C3B" w:rsidRDefault="001B6C3B" w:rsidP="001B6C3B">
      <w:pPr>
        <w:spacing w:after="0" w:line="240" w:lineRule="auto"/>
        <w:ind w:left="4395"/>
        <w:jc w:val="both"/>
        <w:rPr>
          <w:rFonts w:ascii="Times New Roman" w:hAnsi="Times New Roman" w:cs="Times New Roman"/>
          <w:sz w:val="24"/>
          <w:szCs w:val="24"/>
        </w:rPr>
      </w:pPr>
      <w:r>
        <w:rPr>
          <w:rFonts w:ascii="Times New Roman" w:hAnsi="Times New Roman" w:cs="Times New Roman"/>
          <w:sz w:val="24"/>
          <w:szCs w:val="24"/>
        </w:rPr>
        <w:t>Российская Федерация, г. Краснодар</w:t>
      </w:r>
    </w:p>
    <w:p w14:paraId="27DEB684" w14:textId="77777777" w:rsidR="001B6C3B" w:rsidRDefault="001B6C3B" w:rsidP="001B6C3B">
      <w:pPr>
        <w:spacing w:after="0" w:line="240" w:lineRule="auto"/>
        <w:ind w:left="4395"/>
        <w:jc w:val="both"/>
        <w:rPr>
          <w:rFonts w:ascii="Times New Roman" w:hAnsi="Times New Roman" w:cs="Times New Roman"/>
          <w:sz w:val="24"/>
          <w:szCs w:val="24"/>
        </w:rPr>
      </w:pPr>
      <w:r>
        <w:rPr>
          <w:rFonts w:ascii="Times New Roman" w:hAnsi="Times New Roman" w:cs="Times New Roman"/>
          <w:sz w:val="24"/>
          <w:szCs w:val="24"/>
          <w:lang w:val="en-US"/>
        </w:rPr>
        <w:t>Russian</w:t>
      </w:r>
      <w:r w:rsidRPr="00430C1C">
        <w:rPr>
          <w:rFonts w:ascii="Times New Roman" w:hAnsi="Times New Roman" w:cs="Times New Roman"/>
          <w:sz w:val="24"/>
          <w:szCs w:val="24"/>
        </w:rPr>
        <w:t xml:space="preserve"> </w:t>
      </w:r>
      <w:r>
        <w:rPr>
          <w:rFonts w:ascii="Times New Roman" w:hAnsi="Times New Roman" w:cs="Times New Roman"/>
          <w:sz w:val="24"/>
          <w:szCs w:val="24"/>
          <w:lang w:val="en-US"/>
        </w:rPr>
        <w:t>Federation</w:t>
      </w:r>
      <w:r>
        <w:rPr>
          <w:rFonts w:ascii="Times New Roman" w:hAnsi="Times New Roman" w:cs="Times New Roman"/>
          <w:sz w:val="24"/>
          <w:szCs w:val="24"/>
        </w:rPr>
        <w:t xml:space="preserve">, </w:t>
      </w:r>
      <w:r>
        <w:rPr>
          <w:rFonts w:ascii="Times New Roman" w:hAnsi="Times New Roman" w:cs="Times New Roman"/>
          <w:sz w:val="24"/>
          <w:szCs w:val="24"/>
          <w:lang w:val="en-US"/>
        </w:rPr>
        <w:t>Krasnodar</w:t>
      </w:r>
    </w:p>
    <w:p w14:paraId="260CAF89" w14:textId="77777777" w:rsidR="001B6C3B" w:rsidRDefault="001B6C3B" w:rsidP="001B6C3B">
      <w:pPr>
        <w:spacing w:after="0" w:line="240" w:lineRule="auto"/>
        <w:ind w:left="4395"/>
        <w:jc w:val="both"/>
        <w:rPr>
          <w:rFonts w:ascii="Times New Roman" w:hAnsi="Times New Roman" w:cs="Times New Roman"/>
          <w:sz w:val="24"/>
          <w:szCs w:val="24"/>
        </w:rPr>
      </w:pPr>
      <w:r>
        <w:rPr>
          <w:rFonts w:ascii="Times New Roman" w:hAnsi="Times New Roman" w:cs="Times New Roman"/>
          <w:sz w:val="24"/>
          <w:szCs w:val="24"/>
          <w:lang w:val="en-US"/>
        </w:rPr>
        <w:t>Email</w:t>
      </w:r>
      <w:r>
        <w:rPr>
          <w:rFonts w:ascii="Times New Roman" w:hAnsi="Times New Roman" w:cs="Times New Roman"/>
          <w:sz w:val="24"/>
          <w:szCs w:val="24"/>
        </w:rPr>
        <w:t>: 29</w:t>
      </w:r>
      <w:hyperlink r:id="rId23" w:history="1">
        <w:r>
          <w:rPr>
            <w:rStyle w:val="a9"/>
            <w:rFonts w:ascii="Times New Roman" w:hAnsi="Times New Roman" w:cs="Times New Roman"/>
            <w:sz w:val="24"/>
            <w:szCs w:val="24"/>
            <w:lang w:val="en-US"/>
          </w:rPr>
          <w:t>tim</w:t>
        </w:r>
        <w:r>
          <w:rPr>
            <w:rStyle w:val="a9"/>
            <w:rFonts w:ascii="Times New Roman" w:hAnsi="Times New Roman" w:cs="Times New Roman"/>
            <w:sz w:val="24"/>
            <w:szCs w:val="24"/>
          </w:rPr>
          <w:t>1996@</w:t>
        </w:r>
        <w:r>
          <w:rPr>
            <w:rStyle w:val="a9"/>
            <w:rFonts w:ascii="Times New Roman" w:hAnsi="Times New Roman" w:cs="Times New Roman"/>
            <w:sz w:val="24"/>
            <w:szCs w:val="24"/>
            <w:lang w:val="en-US"/>
          </w:rPr>
          <w:t>mail</w:t>
        </w:r>
        <w:r>
          <w:rPr>
            <w:rStyle w:val="a9"/>
            <w:rFonts w:ascii="Times New Roman" w:hAnsi="Times New Roman" w:cs="Times New Roman"/>
            <w:sz w:val="24"/>
            <w:szCs w:val="24"/>
          </w:rPr>
          <w:t>.</w:t>
        </w:r>
        <w:r>
          <w:rPr>
            <w:rStyle w:val="a9"/>
            <w:rFonts w:ascii="Times New Roman" w:hAnsi="Times New Roman" w:cs="Times New Roman"/>
            <w:sz w:val="24"/>
            <w:szCs w:val="24"/>
            <w:lang w:val="en-US"/>
          </w:rPr>
          <w:t>ru</w:t>
        </w:r>
      </w:hyperlink>
    </w:p>
    <w:p w14:paraId="4FB6DC7B" w14:textId="77777777" w:rsidR="001B6C3B" w:rsidRDefault="001B6C3B" w:rsidP="001B6C3B">
      <w:pPr>
        <w:spacing w:after="0" w:line="240" w:lineRule="auto"/>
        <w:ind w:left="4395"/>
        <w:jc w:val="both"/>
        <w:rPr>
          <w:rFonts w:ascii="Times New Roman" w:hAnsi="Times New Roman" w:cs="Times New Roman"/>
          <w:sz w:val="24"/>
          <w:szCs w:val="24"/>
        </w:rPr>
      </w:pPr>
      <w:r>
        <w:rPr>
          <w:rFonts w:ascii="Times New Roman" w:hAnsi="Times New Roman" w:cs="Times New Roman"/>
          <w:sz w:val="24"/>
          <w:szCs w:val="24"/>
        </w:rPr>
        <w:t>Научный руководитель</w:t>
      </w:r>
    </w:p>
    <w:p w14:paraId="35353FFD" w14:textId="77777777" w:rsidR="001B6C3B" w:rsidRDefault="001B6C3B" w:rsidP="001B6C3B">
      <w:pPr>
        <w:spacing w:after="0" w:line="240" w:lineRule="auto"/>
        <w:ind w:left="4395"/>
        <w:jc w:val="both"/>
        <w:rPr>
          <w:rFonts w:ascii="Times New Roman" w:hAnsi="Times New Roman" w:cs="Times New Roman"/>
          <w:sz w:val="24"/>
          <w:szCs w:val="24"/>
        </w:rPr>
      </w:pPr>
      <w:r>
        <w:rPr>
          <w:rFonts w:ascii="Times New Roman" w:hAnsi="Times New Roman" w:cs="Times New Roman"/>
          <w:sz w:val="24"/>
          <w:szCs w:val="24"/>
        </w:rPr>
        <w:t>Седова Наталья Александровна, к.ю.н., доцент</w:t>
      </w:r>
    </w:p>
    <w:p w14:paraId="56E49690" w14:textId="77777777" w:rsidR="001B6C3B" w:rsidRDefault="001B6C3B" w:rsidP="001B6C3B">
      <w:pPr>
        <w:spacing w:after="0" w:line="240" w:lineRule="auto"/>
        <w:ind w:firstLine="709"/>
        <w:jc w:val="both"/>
        <w:rPr>
          <w:rFonts w:ascii="Times New Roman" w:hAnsi="Times New Roman" w:cs="Times New Roman"/>
          <w:sz w:val="24"/>
          <w:szCs w:val="24"/>
        </w:rPr>
      </w:pPr>
    </w:p>
    <w:p w14:paraId="1A71015C" w14:textId="77777777" w:rsidR="001B6C3B" w:rsidRDefault="001B6C3B" w:rsidP="001B6C3B">
      <w:pPr>
        <w:spacing w:after="0" w:line="240" w:lineRule="auto"/>
        <w:ind w:firstLine="709"/>
        <w:jc w:val="both"/>
        <w:rPr>
          <w:rFonts w:ascii="Times New Roman" w:hAnsi="Times New Roman" w:cs="Times New Roman"/>
          <w:sz w:val="24"/>
          <w:szCs w:val="24"/>
        </w:rPr>
      </w:pPr>
    </w:p>
    <w:p w14:paraId="7C4DE13D" w14:textId="77777777" w:rsidR="001B6C3B" w:rsidRDefault="001B6C3B" w:rsidP="001B6C3B">
      <w:pPr>
        <w:spacing w:after="0" w:line="240" w:lineRule="auto"/>
        <w:ind w:firstLine="709"/>
        <w:jc w:val="both"/>
        <w:rPr>
          <w:rFonts w:ascii="Times New Roman" w:hAnsi="Times New Roman" w:cs="Times New Roman"/>
          <w:sz w:val="24"/>
          <w:szCs w:val="24"/>
        </w:rPr>
      </w:pPr>
    </w:p>
    <w:p w14:paraId="52C6D18D" w14:textId="77777777" w:rsidR="001B6C3B" w:rsidRDefault="001B6C3B" w:rsidP="001B6C3B">
      <w:pPr>
        <w:spacing w:after="0" w:line="240" w:lineRule="auto"/>
        <w:ind w:firstLine="709"/>
        <w:jc w:val="center"/>
        <w:rPr>
          <w:rFonts w:ascii="Times New Roman" w:hAnsi="Times New Roman" w:cs="Times New Roman"/>
          <w:b/>
          <w:sz w:val="24"/>
          <w:szCs w:val="24"/>
        </w:rPr>
      </w:pPr>
      <w:r>
        <w:rPr>
          <w:rFonts w:ascii="Times New Roman" w:hAnsi="Times New Roman" w:cs="Times New Roman"/>
          <w:b/>
          <w:sz w:val="24"/>
          <w:szCs w:val="24"/>
        </w:rPr>
        <w:t>ЭЛЕКТРОННЫЕ ДЕНЕЖНЫЕ СРЕДСТВА КАК ОБЪЕКТ</w:t>
      </w:r>
    </w:p>
    <w:p w14:paraId="3061F9BF" w14:textId="77777777" w:rsidR="001B6C3B" w:rsidRDefault="001B6C3B" w:rsidP="001B6C3B">
      <w:pPr>
        <w:spacing w:after="0" w:line="240" w:lineRule="auto"/>
        <w:ind w:firstLine="709"/>
        <w:jc w:val="center"/>
        <w:rPr>
          <w:rFonts w:ascii="Times New Roman" w:hAnsi="Times New Roman" w:cs="Times New Roman"/>
          <w:b/>
          <w:sz w:val="24"/>
          <w:szCs w:val="24"/>
        </w:rPr>
      </w:pPr>
      <w:r>
        <w:rPr>
          <w:rFonts w:ascii="Times New Roman" w:hAnsi="Times New Roman" w:cs="Times New Roman"/>
          <w:b/>
          <w:sz w:val="24"/>
          <w:szCs w:val="24"/>
        </w:rPr>
        <w:t>ГРАЖДАНСКИХ ПРАВООТНОШЕНИЙ</w:t>
      </w:r>
    </w:p>
    <w:p w14:paraId="39B6E0F7" w14:textId="77777777" w:rsidR="001B6C3B" w:rsidRDefault="001B6C3B" w:rsidP="001B6C3B">
      <w:pPr>
        <w:spacing w:after="0" w:line="240" w:lineRule="auto"/>
        <w:ind w:firstLine="709"/>
        <w:jc w:val="center"/>
        <w:rPr>
          <w:rFonts w:ascii="Times New Roman" w:hAnsi="Times New Roman" w:cs="Times New Roman"/>
          <w:b/>
          <w:sz w:val="24"/>
          <w:szCs w:val="24"/>
        </w:rPr>
      </w:pPr>
    </w:p>
    <w:p w14:paraId="37E12FA2" w14:textId="77777777" w:rsidR="001B6C3B" w:rsidRDefault="001B6C3B" w:rsidP="001B6C3B">
      <w:pPr>
        <w:spacing w:after="0" w:line="240" w:lineRule="auto"/>
        <w:ind w:firstLine="709"/>
        <w:jc w:val="center"/>
        <w:rPr>
          <w:rFonts w:ascii="Times New Roman" w:hAnsi="Times New Roman" w:cs="Times New Roman"/>
          <w:b/>
          <w:sz w:val="24"/>
          <w:szCs w:val="24"/>
          <w:lang w:val="en-US"/>
        </w:rPr>
      </w:pPr>
      <w:r>
        <w:rPr>
          <w:rFonts w:ascii="Times New Roman" w:hAnsi="Times New Roman" w:cs="Times New Roman"/>
          <w:b/>
          <w:sz w:val="24"/>
          <w:szCs w:val="24"/>
          <w:lang w:val="en-US"/>
        </w:rPr>
        <w:t>ELECTRONIC MONEY AS AN OBJECT</w:t>
      </w:r>
    </w:p>
    <w:p w14:paraId="54ED33C4" w14:textId="77777777" w:rsidR="001B6C3B" w:rsidRDefault="001B6C3B" w:rsidP="001B6C3B">
      <w:pPr>
        <w:spacing w:after="0" w:line="240" w:lineRule="auto"/>
        <w:ind w:firstLine="709"/>
        <w:jc w:val="center"/>
        <w:rPr>
          <w:rFonts w:ascii="Times New Roman" w:hAnsi="Times New Roman" w:cs="Times New Roman"/>
          <w:b/>
          <w:sz w:val="24"/>
          <w:szCs w:val="24"/>
          <w:lang w:val="en-US"/>
        </w:rPr>
      </w:pPr>
      <w:r>
        <w:rPr>
          <w:rFonts w:ascii="Times New Roman" w:hAnsi="Times New Roman" w:cs="Times New Roman"/>
          <w:b/>
          <w:sz w:val="24"/>
          <w:szCs w:val="24"/>
          <w:lang w:val="en-US"/>
        </w:rPr>
        <w:t>CIVIL LEGAL RELATIONS</w:t>
      </w:r>
    </w:p>
    <w:p w14:paraId="2AE7BED8" w14:textId="77777777" w:rsidR="001B6C3B" w:rsidRDefault="001B6C3B" w:rsidP="001B6C3B">
      <w:pPr>
        <w:spacing w:after="0" w:line="240" w:lineRule="auto"/>
        <w:ind w:firstLine="709"/>
        <w:jc w:val="both"/>
        <w:rPr>
          <w:rFonts w:ascii="Times New Roman" w:hAnsi="Times New Roman" w:cs="Times New Roman"/>
          <w:b/>
          <w:sz w:val="24"/>
          <w:szCs w:val="24"/>
          <w:lang w:val="en-US"/>
        </w:rPr>
      </w:pPr>
    </w:p>
    <w:p w14:paraId="179139BD" w14:textId="77777777" w:rsidR="001B6C3B" w:rsidRDefault="001B6C3B" w:rsidP="001B6C3B">
      <w:pPr>
        <w:spacing w:after="0" w:line="240" w:lineRule="auto"/>
        <w:ind w:firstLine="709"/>
        <w:jc w:val="both"/>
        <w:rPr>
          <w:rFonts w:ascii="Times New Roman" w:hAnsi="Times New Roman" w:cs="Times New Roman"/>
          <w:i/>
          <w:sz w:val="24"/>
          <w:szCs w:val="24"/>
        </w:rPr>
      </w:pPr>
      <w:r>
        <w:rPr>
          <w:rFonts w:ascii="Times New Roman" w:hAnsi="Times New Roman" w:cs="Times New Roman"/>
          <w:i/>
          <w:sz w:val="24"/>
          <w:szCs w:val="24"/>
          <w:lang w:val="en-US"/>
        </w:rPr>
        <w:t xml:space="preserve"> </w:t>
      </w:r>
      <w:r>
        <w:rPr>
          <w:rFonts w:ascii="Times New Roman" w:hAnsi="Times New Roman" w:cs="Times New Roman"/>
          <w:i/>
          <w:sz w:val="24"/>
          <w:szCs w:val="24"/>
        </w:rPr>
        <w:t xml:space="preserve">Аннотация: </w:t>
      </w:r>
      <w:r>
        <w:rPr>
          <w:rFonts w:ascii="Times New Roman" w:hAnsi="Times New Roman" w:cs="Times New Roman"/>
          <w:sz w:val="24"/>
          <w:szCs w:val="24"/>
        </w:rPr>
        <w:t>В статье рассматривается вопрос электронных денежных средств как объекта гражданских правоотношений. Актуальность данной темы обосновывается возросшим темпом применения электронно – телекоммуникационных технологий в области товарооборота, что в свою очередь увеличило использование электронных денежных средств. Появление электронных денежных средств как следствие потребовало законодательной регламентации применения данного вида денег. В представленной статье исследованы такие понятия как гражданское право, гражданские правоотношения, объект гражданского правоотношения, деньги, электронные денежные средства.</w:t>
      </w:r>
    </w:p>
    <w:p w14:paraId="3960D643"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i/>
          <w:sz w:val="24"/>
          <w:szCs w:val="24"/>
        </w:rPr>
        <w:t xml:space="preserve">Ключевые слова: </w:t>
      </w:r>
      <w:r>
        <w:rPr>
          <w:rFonts w:ascii="Times New Roman" w:hAnsi="Times New Roman" w:cs="Times New Roman"/>
          <w:sz w:val="24"/>
          <w:szCs w:val="24"/>
        </w:rPr>
        <w:t>гражданские правоотношения; обязанность; объект гражданского правоотношения; вещи; деньги; электронные денежные средства; платеж; электронный платеж; электронная платежная система.</w:t>
      </w:r>
    </w:p>
    <w:p w14:paraId="53089092" w14:textId="77777777" w:rsidR="001B6C3B" w:rsidRDefault="001B6C3B" w:rsidP="001B6C3B">
      <w:pPr>
        <w:spacing w:after="0" w:line="240" w:lineRule="auto"/>
        <w:ind w:firstLine="709"/>
        <w:jc w:val="both"/>
        <w:rPr>
          <w:rFonts w:ascii="Times New Roman" w:hAnsi="Times New Roman" w:cs="Times New Roman"/>
          <w:sz w:val="24"/>
          <w:szCs w:val="24"/>
          <w:lang w:val="en-US"/>
        </w:rPr>
      </w:pPr>
      <w:r>
        <w:rPr>
          <w:rFonts w:ascii="Times New Roman" w:hAnsi="Times New Roman" w:cs="Times New Roman"/>
          <w:sz w:val="24"/>
          <w:szCs w:val="24"/>
        </w:rPr>
        <w:t xml:space="preserve"> </w:t>
      </w:r>
      <w:r>
        <w:rPr>
          <w:rFonts w:ascii="Times New Roman" w:hAnsi="Times New Roman" w:cs="Times New Roman"/>
          <w:i/>
          <w:sz w:val="24"/>
          <w:szCs w:val="24"/>
          <w:lang w:val="en-US"/>
        </w:rPr>
        <w:t>Annotation:</w:t>
      </w:r>
      <w:r>
        <w:rPr>
          <w:rFonts w:ascii="Times New Roman" w:hAnsi="Times New Roman" w:cs="Times New Roman"/>
          <w:sz w:val="24"/>
          <w:szCs w:val="24"/>
          <w:lang w:val="en-US"/>
        </w:rPr>
        <w:t xml:space="preserve"> the article deals with the issue of electronic money as an object of civil legal relations. The relevance of this topic is justified by the increased rate of application of electronic telecommunications technologies in the field of trade, which in turn increased the use of electronic money. The emergence of electronic money as a consequence required legislative regulation of the use of this type of money. This article examines such concepts as civil law, civil legal relations, the object of civil legal relations, money, electronic money.</w:t>
      </w:r>
    </w:p>
    <w:p w14:paraId="0A9F0EC7" w14:textId="77777777" w:rsidR="001B6C3B" w:rsidRDefault="001B6C3B" w:rsidP="001B6C3B">
      <w:pPr>
        <w:spacing w:after="0" w:line="240" w:lineRule="auto"/>
        <w:ind w:firstLine="709"/>
        <w:jc w:val="both"/>
        <w:rPr>
          <w:rFonts w:ascii="Times New Roman" w:hAnsi="Times New Roman" w:cs="Times New Roman"/>
          <w:i/>
          <w:sz w:val="24"/>
          <w:szCs w:val="24"/>
          <w:lang w:val="en-US"/>
        </w:rPr>
      </w:pPr>
      <w:r>
        <w:rPr>
          <w:rFonts w:ascii="Times New Roman" w:hAnsi="Times New Roman" w:cs="Times New Roman"/>
          <w:i/>
          <w:sz w:val="24"/>
          <w:szCs w:val="24"/>
          <w:lang w:val="en-US"/>
        </w:rPr>
        <w:t>Keywords:</w:t>
      </w:r>
      <w:r>
        <w:rPr>
          <w:rFonts w:ascii="Times New Roman" w:hAnsi="Times New Roman" w:cs="Times New Roman"/>
          <w:sz w:val="24"/>
          <w:szCs w:val="24"/>
          <w:lang w:val="en-US"/>
        </w:rPr>
        <w:t xml:space="preserve"> </w:t>
      </w:r>
      <w:r>
        <w:rPr>
          <w:rFonts w:ascii="Times New Roman" w:hAnsi="Times New Roman" w:cs="Times New Roman"/>
          <w:i/>
          <w:sz w:val="24"/>
          <w:szCs w:val="24"/>
          <w:lang w:val="en-US"/>
        </w:rPr>
        <w:t>civil legal relations ; obligation; object of civil legal relations ; things; money; electronic money; payment; electronic payment; electronic payment system.</w:t>
      </w:r>
    </w:p>
    <w:p w14:paraId="1306A4B0" w14:textId="77777777" w:rsidR="001B6C3B" w:rsidRDefault="001B6C3B" w:rsidP="001B6C3B">
      <w:pPr>
        <w:spacing w:after="0" w:line="240" w:lineRule="auto"/>
        <w:ind w:firstLine="709"/>
        <w:jc w:val="both"/>
        <w:rPr>
          <w:rFonts w:ascii="Times New Roman" w:hAnsi="Times New Roman" w:cs="Times New Roman"/>
          <w:i/>
          <w:sz w:val="24"/>
          <w:szCs w:val="24"/>
          <w:lang w:val="en-US"/>
        </w:rPr>
      </w:pPr>
    </w:p>
    <w:p w14:paraId="00E8B6DA"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Любые стороны жизнедеятельности человека в том или ином случае предусматривают взаимодействие последнего с другими людьми. </w:t>
      </w:r>
    </w:p>
    <w:p w14:paraId="7ABB8489"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Гражданское правоотношение представляет собой отношение, подкрепленное правовыми нормами, возникающее по поводу различных благ, субъекты которого признаются автономными и юридически равными носителями прав и обязанностей</w:t>
      </w:r>
      <w:r>
        <w:rPr>
          <w:rStyle w:val="a7"/>
          <w:rFonts w:ascii="Times New Roman" w:hAnsi="Times New Roman" w:cs="Times New Roman"/>
          <w:sz w:val="24"/>
          <w:szCs w:val="24"/>
        </w:rPr>
        <w:footnoteReference w:id="170"/>
      </w:r>
      <w:r>
        <w:rPr>
          <w:rFonts w:ascii="Times New Roman" w:hAnsi="Times New Roman" w:cs="Times New Roman"/>
          <w:sz w:val="24"/>
          <w:szCs w:val="24"/>
        </w:rPr>
        <w:t>.</w:t>
      </w:r>
    </w:p>
    <w:p w14:paraId="06D87695"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Из курса теории права известно, что всякое правоотношение, включая гражданско-правовое, имеет определенную структуру, а именно:</w:t>
      </w:r>
    </w:p>
    <w:p w14:paraId="3949E60E"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объект (благо, послужившее поводом для возникновения гражданского правоотношения);</w:t>
      </w:r>
    </w:p>
    <w:p w14:paraId="630B7C34"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субъект (участники гражданско-правового отношения, являющиеся носителями прав и обязанностей);</w:t>
      </w:r>
    </w:p>
    <w:p w14:paraId="4AA8BDEB"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содержание (взаимные права и обязанности субъектов правоотношения).</w:t>
      </w:r>
    </w:p>
    <w:p w14:paraId="468AB0D8"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большинстве случаев гражданские правоотношения направлены на переход определенных благ, удовлетворяющих потребности человека, от одного лица к другому, что в свою очередь требует регламентированного регулирования и конкретного понимания какие блага могут являться основой возникновения правоотношения.</w:t>
      </w:r>
    </w:p>
    <w:p w14:paraId="51AF2B74"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Блага, с точки зрения гражданского законодательства, являются объектами гражданско-правовых отношений, так как именно они признаются поводом возникновения последних.</w:t>
      </w:r>
    </w:p>
    <w:p w14:paraId="4822EAF0"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В соответствии с ГК РФ объекты гражданских правоотношений подразделены на четыре условных группы:</w:t>
      </w:r>
    </w:p>
    <w:p w14:paraId="7E9BE54E"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имущество (объекты материального характера, использование которых направлено на удовлетворение человеческих потребностей, таковыми являются вещи, деньги и документарные ценные бумаги, а также бездокументарные ценные бумаги;</w:t>
      </w:r>
    </w:p>
    <w:p w14:paraId="3DB8E5A9"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охраняемые результаты интеллектуальной деятельности и приравненные к ним средства индивидуализации (интеллектуальная собственность);</w:t>
      </w:r>
    </w:p>
    <w:p w14:paraId="794F55D7"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нематериальные блага.</w:t>
      </w:r>
    </w:p>
    <w:p w14:paraId="739D03F3"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результате становления человечества на новый уровень путем достижения значительного продвижения в научно-техническом прогрессе, некоторые материальные объекты гражданского оборота преобразовались в новые формы, то есть их материальная составляющая трансформировалась в неосязаемую категорию. Примером могут послужить деньги.</w:t>
      </w:r>
    </w:p>
    <w:p w14:paraId="69AD8260"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Возможность участия денег в гражданских правоотношениях обуславливается наличием учета принадлежности видов и количества представленных благ отдельным лицам. Средствами такого учета с правовой позиции являются реестр владельцев ценных бумаг, банковский счет. Действующее гражданское законодательство относит наличные деньги к разряду движимых вещей. Деньги определяются родовыми признаками, а также в некоторых случаях возможна их индивидуализация.</w:t>
      </w:r>
    </w:p>
    <w:p w14:paraId="406F9BE1"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Основной функцией денег, как наличных, так и безналичных, в соответствии с ч. 1 ст. 140 ГК РФ является то, что последние приходятся средством платежа, имеющим ценность благодаря количеству выраженного в них номинала. </w:t>
      </w:r>
    </w:p>
    <w:p w14:paraId="14BBDC02"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На современном этапе развития большинство расчетных платежей производится с использованием безналичных денежных средств, зачисленных на банковских счетах. Безналичные денежные средства являются не только платежным средством, но и товаром особого вида, заключающегося в высокой степени ликвидности, то есть такие средства без труда возможно обналичить.</w:t>
      </w:r>
    </w:p>
    <w:p w14:paraId="05F40755"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целом можно утверждать, что безналичные денежные средства выполняют функцию наличных денег, однако вопрос о том, в каких случаях такие денежные средства непосредственно будут являться объектом какого-либо гражданского правоотношения, вызывает интерес.</w:t>
      </w:r>
    </w:p>
    <w:p w14:paraId="7DC9E9BE"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 xml:space="preserve">Безналичные денежные средства являются по существу имущественным правом требования, их использование допускается в установленной законом очередности платежей (ст. 855 ГК РФ). </w:t>
      </w:r>
    </w:p>
    <w:p w14:paraId="4619221F"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Как отражалось раннее, гражданское право представляет собой совокупность правовых норм, регулирующих имущественные и лично неимущественные отношения, то есть включая отношения, возникающих по поводу материальных, всегда связанных с имуществом, и нематериальных благ</w:t>
      </w:r>
      <w:r>
        <w:rPr>
          <w:rStyle w:val="a7"/>
          <w:rFonts w:ascii="Times New Roman" w:hAnsi="Times New Roman" w:cs="Times New Roman"/>
          <w:sz w:val="24"/>
          <w:szCs w:val="24"/>
        </w:rPr>
        <w:footnoteReference w:id="171"/>
      </w:r>
      <w:r>
        <w:rPr>
          <w:rFonts w:ascii="Times New Roman" w:hAnsi="Times New Roman" w:cs="Times New Roman"/>
          <w:sz w:val="24"/>
          <w:szCs w:val="24"/>
        </w:rPr>
        <w:t>.</w:t>
      </w:r>
    </w:p>
    <w:p w14:paraId="4D3EE217"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Определенная часть исследователей рассматривают электронные денежные средства не как объект гражданских правоотношений, а через категорию интереса, то есть выполнение каких-либо обязательств по сделке посредством электронных денежных средств</w:t>
      </w:r>
      <w:r>
        <w:rPr>
          <w:rStyle w:val="a7"/>
          <w:rFonts w:ascii="Times New Roman" w:hAnsi="Times New Roman" w:cs="Times New Roman"/>
          <w:sz w:val="24"/>
          <w:szCs w:val="24"/>
        </w:rPr>
        <w:footnoteReference w:id="172"/>
      </w:r>
      <w:r>
        <w:rPr>
          <w:rFonts w:ascii="Times New Roman" w:hAnsi="Times New Roman" w:cs="Times New Roman"/>
          <w:sz w:val="24"/>
          <w:szCs w:val="24"/>
        </w:rPr>
        <w:t xml:space="preserve">. Представляется, что в таком случае «безналичные деньги» выступают инструментом распоряжения правом требования выплаты денежных средств из сложившихся между участниками правоотношений обязательств. </w:t>
      </w:r>
    </w:p>
    <w:p w14:paraId="00747C9A" w14:textId="77777777" w:rsidR="001B6C3B" w:rsidRDefault="001B6C3B" w:rsidP="001B6C3B">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Наиболее часто электронные денежные средства используются как средство платежа при покупке различных товаров через информационную телекоммуникационную сеть «Интернет», на различных платформах. В таком случае объектом гражданско-правовых отношений выступают товары и услуги, в то время как электронные денежные средства выступают способом исполнения обязательства покупателем и заказчиком услуги. Особенностью является сам порядок перевода электронных денежных средств. Если с наличными деньгами все понятно, то с электронными немного сложнее; выражается это в том, что пользование электронными денежными средствами невозможно без ранее заключенного соглашения с оператором. При осуществлении безналичных расчетов в форме перевода электронных денег клиент предоставляется денежные средства оператору электронных денежных средств, а последний в свою очередь формирует запись, отражающую размер обязательств оператора электронных денег перед клиентом в сумме представленных денежных средств. Перевод ЭДС осуществляется путем принятия оператором распоряжения клиента либо при наступлении иных обстоятельств, предусмотренных законодательством (аккредитив, инкассо и т.д.). После исполнения поручения клиента, оператор электронных денежных средств направляет первому уведомление об исполнении поручения. Оператором в основном является кредитные организации, в том числе небанковские кредитные организации, имеющее право на осуществление переводов электронных денежных средств. Для заключения договора с клиентом, организация должна иметь разрешение Центрального Банка России, а также принять от клиента соответствующие документы: документ, удостоверяющий личность, ИНН и т.д. После заключения договора, открывается расчетный счет, на который будут зачисляться либо выводиться денежные средства. </w:t>
      </w:r>
    </w:p>
    <w:p w14:paraId="0FDCD72C" w14:textId="77777777" w:rsidR="001B6C3B" w:rsidRDefault="001B6C3B" w:rsidP="001B6C3B">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Исходя из этого, представляется, что электронные денежные средства при приобретении товара, либо получения услуг или иных благ не будут непосредственно являться объектом гражданских правоотношений, а лишь эффективным механизмом получения стоимости товара.</w:t>
      </w:r>
    </w:p>
    <w:p w14:paraId="26376171" w14:textId="77777777" w:rsidR="001B6C3B" w:rsidRDefault="001B6C3B" w:rsidP="001B6C3B">
      <w:pPr>
        <w:spacing w:after="0" w:line="240" w:lineRule="auto"/>
        <w:ind w:firstLine="709"/>
        <w:jc w:val="both"/>
        <w:rPr>
          <w:rFonts w:ascii="Times New Roman" w:eastAsia="Times New Roman" w:hAnsi="Times New Roman" w:cs="Times New Roman"/>
          <w:sz w:val="24"/>
          <w:szCs w:val="24"/>
          <w:lang w:eastAsia="ru-RU"/>
        </w:rPr>
      </w:pPr>
      <w:r>
        <w:rPr>
          <w:rFonts w:ascii="Times New Roman" w:hAnsi="Times New Roman" w:cs="Times New Roman"/>
          <w:sz w:val="24"/>
          <w:szCs w:val="24"/>
        </w:rPr>
        <w:t>Федеральный закон от 27.06.2011 № 161-ФЗ «О национальной платежной системе» в ст. 3 определяет, что «электронные денежные средства» –</w:t>
      </w:r>
      <w:r>
        <w:rPr>
          <w:rFonts w:ascii="Times New Roman" w:eastAsia="Times New Roman" w:hAnsi="Times New Roman" w:cs="Times New Roman"/>
          <w:sz w:val="24"/>
          <w:szCs w:val="24"/>
          <w:lang w:eastAsia="ru-RU"/>
        </w:rPr>
        <w:t>денежные средства, которые предварительно предоставлены одним лицом другому лицу, учитывающему информацию о размере предоставленных денежных средств без открытия банковского счета, для исполнения денежных обязательств лица, предоставившего денежные средства, перед третьими лицами и в отношении которых лицо, предоставившее денежные средства, имеет право передавать распоряжения исключительно с использованием электронных средств платежа.</w:t>
      </w:r>
      <w:r>
        <w:rPr>
          <w:rStyle w:val="a7"/>
          <w:rFonts w:ascii="Times New Roman" w:eastAsia="Times New Roman" w:hAnsi="Times New Roman" w:cs="Times New Roman"/>
          <w:sz w:val="24"/>
          <w:szCs w:val="24"/>
          <w:lang w:eastAsia="ru-RU"/>
        </w:rPr>
        <w:footnoteReference w:id="173"/>
      </w:r>
      <w:r>
        <w:rPr>
          <w:rFonts w:ascii="Times New Roman" w:eastAsia="Times New Roman" w:hAnsi="Times New Roman" w:cs="Times New Roman"/>
          <w:sz w:val="24"/>
          <w:szCs w:val="24"/>
          <w:lang w:eastAsia="ru-RU"/>
        </w:rPr>
        <w:t xml:space="preserve"> Легальное определение электронных денежных средств, отраженное в указанном Федеральном законе предусматривает, что такой вид денег используется в целях исполнения денежного </w:t>
      </w:r>
      <w:r>
        <w:rPr>
          <w:rFonts w:ascii="Times New Roman" w:eastAsia="Times New Roman" w:hAnsi="Times New Roman" w:cs="Times New Roman"/>
          <w:sz w:val="24"/>
          <w:szCs w:val="24"/>
          <w:lang w:eastAsia="ru-RU"/>
        </w:rPr>
        <w:lastRenderedPageBreak/>
        <w:t xml:space="preserve">обязательства лица. Также необходимо иметь ввиду, что электронные денежные средства могут использоваться только с применением электронных платежных систем, что и представляется логичным в связи с природой их возникновения и действия. В соответствии с указанным законом, объектом правоотношения клиента и оператора по переводу денежных средств, будут являться непосредственно электронные денежные средства. </w:t>
      </w:r>
    </w:p>
    <w:p w14:paraId="35A202B5" w14:textId="77777777" w:rsidR="001B6C3B" w:rsidRDefault="001B6C3B" w:rsidP="001B6C3B">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 целях получения ответа, являются ли электронные денежные средства объектом гражданских отношений, можно провести параллель со схожими «спорными объектами», которыми представляется возможным назвать коллекционные монеты.</w:t>
      </w:r>
    </w:p>
    <w:p w14:paraId="234EA300" w14:textId="77777777" w:rsidR="001B6C3B" w:rsidRDefault="001B6C3B" w:rsidP="001B6C3B">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Известно, что коллекционные монеты по своей природе являются деньгами предшествующих лет и вышедшими из оборота, так как на протяжении времени появляются новые формы и виды денег. На каждом временном периоде в каждом государстве имеется главный финансовый орган, занимающийся эмиссией денег. Коллекционные деньги приобретают люди, интерес которых направлен на саму монету, а не на ее материальную ценность, тем более такие монеты ввиду своего возраста либо редкости не являются средством платежа, а следует, что могут выступать объектом гражданских правоотношений. В данном случае, такая монета признается вещью, которая в силу сложившегося между сторонами обязательства, выступает объектом, передача которого от одного участника обязательства к другому, скорее всего, обусловлена выплатой действующими наличными деньгами либо электронными денежными средствами.</w:t>
      </w:r>
    </w:p>
    <w:p w14:paraId="1ACFEC80" w14:textId="77777777" w:rsidR="001B6C3B" w:rsidRDefault="001B6C3B" w:rsidP="001B6C3B">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На основании вышесказанного, следует, что коллекционные монеты и электронные денежные средства различаются своим статусом в гражданских правоотношениях, первые, выступают лишь их объектом, так как в товарообороте не являются средством платежа, вторые же наоборот, выступают именно способом выполнения обязательства, а в определенных случаях и объектом гражданско-правовых отношений.</w:t>
      </w:r>
    </w:p>
    <w:p w14:paraId="35B0B880" w14:textId="77777777" w:rsidR="001B6C3B" w:rsidRDefault="001B6C3B" w:rsidP="001B6C3B">
      <w:pPr>
        <w:spacing w:after="0" w:line="240" w:lineRule="auto"/>
        <w:ind w:firstLine="709"/>
        <w:jc w:val="both"/>
        <w:rPr>
          <w:rFonts w:ascii="Times New Roman" w:eastAsia="Times New Roman" w:hAnsi="Times New Roman" w:cs="Times New Roman"/>
          <w:sz w:val="24"/>
          <w:szCs w:val="24"/>
          <w:lang w:eastAsia="ru-RU"/>
        </w:rPr>
      </w:pPr>
      <w:r>
        <w:rPr>
          <w:rFonts w:ascii="Times New Roman" w:hAnsi="Times New Roman" w:cs="Times New Roman"/>
          <w:sz w:val="24"/>
          <w:szCs w:val="24"/>
        </w:rPr>
        <w:t>Таким образом, электронные денежные средства можно рассматривать как объект гражданских правоотношений в случае наличия денежных обязательств по договору, например, займа, когда заемные средства предоставляются путем перевода денежных средств в безналичной форме, то есть когда непосредственно объектом и интересом субъектов таких правоотношений являются электронные денежные средства. В иных случаях, когда деньги, в любой их форме, выступают лишь средством исполнения обязательства, направленного на удовлетворение потребностей лица путем приобретения какого-либо товара или услуги, либо иных объектов гражданских правоотношений, не представляется возможным рассматривать как объект гражданско-правовых отношений.</w:t>
      </w:r>
    </w:p>
    <w:p w14:paraId="57A2E3B6" w14:textId="77777777" w:rsidR="001B6C3B" w:rsidRDefault="001B6C3B" w:rsidP="001B6C3B">
      <w:pPr>
        <w:spacing w:after="0" w:line="240" w:lineRule="auto"/>
        <w:ind w:firstLine="709"/>
        <w:jc w:val="both"/>
        <w:rPr>
          <w:rFonts w:ascii="Times New Roman" w:hAnsi="Times New Roman" w:cs="Times New Roman"/>
          <w:sz w:val="24"/>
          <w:szCs w:val="24"/>
        </w:rPr>
      </w:pPr>
    </w:p>
    <w:p w14:paraId="1F069576" w14:textId="77777777" w:rsidR="001B6C3B" w:rsidRDefault="001B6C3B" w:rsidP="001B6C3B">
      <w:pPr>
        <w:shd w:val="clear" w:color="auto" w:fill="FFFFFF"/>
        <w:spacing w:after="0" w:line="240" w:lineRule="auto"/>
        <w:jc w:val="both"/>
        <w:rPr>
          <w:rFonts w:ascii="Times New Roman" w:eastAsia="Times New Roman" w:hAnsi="Times New Roman" w:cs="Times New Roman"/>
          <w:sz w:val="24"/>
          <w:szCs w:val="24"/>
          <w:lang w:eastAsia="ru-RU"/>
        </w:rPr>
      </w:pPr>
    </w:p>
    <w:p w14:paraId="5AA08943" w14:textId="77777777" w:rsidR="001B6C3B" w:rsidRDefault="001B6C3B" w:rsidP="001B6C3B">
      <w:pPr>
        <w:shd w:val="clear" w:color="auto" w:fill="FFFFFF"/>
        <w:spacing w:after="0" w:line="240" w:lineRule="auto"/>
        <w:ind w:firstLine="709"/>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Библиографический список</w:t>
      </w:r>
    </w:p>
    <w:p w14:paraId="5BBEAE6C" w14:textId="77777777" w:rsidR="001B6C3B" w:rsidRDefault="001B6C3B" w:rsidP="001B6C3B">
      <w:pPr>
        <w:shd w:val="clear" w:color="auto" w:fill="FFFFFF"/>
        <w:spacing w:after="0" w:line="240" w:lineRule="auto"/>
        <w:ind w:firstLine="709"/>
        <w:jc w:val="both"/>
        <w:rPr>
          <w:rFonts w:ascii="Times New Roman" w:hAnsi="Times New Roman" w:cs="Times New Roman"/>
          <w:sz w:val="24"/>
          <w:szCs w:val="24"/>
        </w:rPr>
      </w:pPr>
      <w:r>
        <w:rPr>
          <w:rFonts w:ascii="Times New Roman" w:eastAsia="Times New Roman" w:hAnsi="Times New Roman" w:cs="Times New Roman"/>
          <w:b/>
          <w:sz w:val="24"/>
          <w:szCs w:val="24"/>
          <w:lang w:eastAsia="ru-RU"/>
        </w:rPr>
        <w:br/>
      </w:r>
      <w:r>
        <w:rPr>
          <w:rFonts w:ascii="Times New Roman" w:eastAsia="Times New Roman" w:hAnsi="Times New Roman" w:cs="Times New Roman"/>
          <w:sz w:val="24"/>
          <w:szCs w:val="24"/>
          <w:lang w:eastAsia="ru-RU"/>
        </w:rPr>
        <w:br/>
        <w:t xml:space="preserve">1. </w:t>
      </w:r>
      <w:r>
        <w:rPr>
          <w:rFonts w:ascii="Times New Roman" w:hAnsi="Times New Roman" w:cs="Times New Roman"/>
          <w:sz w:val="24"/>
          <w:szCs w:val="24"/>
        </w:rPr>
        <w:t>Гамбаров Ю. С. Гражданское право. Общая часть / под ред. В. А. Томсинова. – М.: Зерцало, 2003. – 816 с.</w:t>
      </w:r>
    </w:p>
    <w:p w14:paraId="3D365255" w14:textId="77777777" w:rsidR="001B6C3B" w:rsidRDefault="001B6C3B" w:rsidP="001B6C3B">
      <w:pPr>
        <w:pStyle w:val="Default"/>
        <w:ind w:firstLine="709"/>
        <w:jc w:val="both"/>
        <w:rPr>
          <w:color w:val="auto"/>
        </w:rPr>
      </w:pPr>
      <w:r>
        <w:rPr>
          <w:color w:val="auto"/>
        </w:rPr>
        <w:t xml:space="preserve">2. Овсейко С.В. Юридическая природа электронных денег // Юрист. 2007. № 9. С. 30–36. </w:t>
      </w:r>
    </w:p>
    <w:p w14:paraId="68014C56" w14:textId="77777777" w:rsidR="001B6C3B" w:rsidRDefault="001B6C3B" w:rsidP="001B6C3B">
      <w:pPr>
        <w:pStyle w:val="Default"/>
        <w:ind w:firstLine="709"/>
        <w:jc w:val="both"/>
        <w:rPr>
          <w:color w:val="auto"/>
        </w:rPr>
      </w:pPr>
      <w:r>
        <w:rPr>
          <w:color w:val="auto"/>
        </w:rPr>
        <w:t xml:space="preserve">3. Шершеневич Г.Ф. Учебник русского гражданского права. М., 1995. 462 с. </w:t>
      </w:r>
    </w:p>
    <w:p w14:paraId="14DA67B2" w14:textId="77777777" w:rsidR="001B6C3B" w:rsidRDefault="001B6C3B" w:rsidP="001B6C3B">
      <w:pPr>
        <w:spacing w:after="0" w:line="240" w:lineRule="auto"/>
        <w:rPr>
          <w:rFonts w:ascii="Times New Roman" w:hAnsi="Times New Roman" w:cs="Times New Roman"/>
          <w:sz w:val="24"/>
          <w:szCs w:val="24"/>
        </w:rPr>
        <w:sectPr w:rsidR="001B6C3B">
          <w:footnotePr>
            <w:numRestart w:val="eachPage"/>
          </w:footnotePr>
          <w:pgSz w:w="11906" w:h="16838"/>
          <w:pgMar w:top="1134" w:right="1134" w:bottom="1134" w:left="1134" w:header="709" w:footer="709" w:gutter="0"/>
          <w:cols w:space="720"/>
        </w:sectPr>
      </w:pPr>
    </w:p>
    <w:p w14:paraId="19C8D316" w14:textId="77777777" w:rsidR="001B6C3B" w:rsidRDefault="001B6C3B" w:rsidP="001B6C3B">
      <w:pPr>
        <w:spacing w:after="0" w:line="240" w:lineRule="auto"/>
        <w:ind w:left="4820"/>
        <w:contextualSpacing/>
        <w:jc w:val="both"/>
        <w:rPr>
          <w:rFonts w:ascii="Times New Roman" w:hAnsi="Times New Roman" w:cs="Times New Roman"/>
          <w:b/>
          <w:sz w:val="24"/>
          <w:szCs w:val="24"/>
        </w:rPr>
      </w:pPr>
      <w:r>
        <w:rPr>
          <w:rFonts w:ascii="Times New Roman" w:hAnsi="Times New Roman" w:cs="Times New Roman"/>
          <w:b/>
          <w:sz w:val="24"/>
          <w:szCs w:val="24"/>
        </w:rPr>
        <w:lastRenderedPageBreak/>
        <w:t>УДК 347.25</w:t>
      </w:r>
    </w:p>
    <w:p w14:paraId="4856A80B" w14:textId="77777777" w:rsidR="001B6C3B" w:rsidRDefault="001B6C3B" w:rsidP="001B6C3B">
      <w:pPr>
        <w:spacing w:after="0" w:line="240" w:lineRule="auto"/>
        <w:ind w:left="4820"/>
        <w:contextualSpacing/>
        <w:jc w:val="both"/>
        <w:rPr>
          <w:rFonts w:ascii="Times New Roman" w:hAnsi="Times New Roman" w:cs="Times New Roman"/>
          <w:sz w:val="24"/>
          <w:szCs w:val="24"/>
        </w:rPr>
      </w:pPr>
    </w:p>
    <w:p w14:paraId="3F79788D" w14:textId="77777777" w:rsidR="001B6C3B" w:rsidRDefault="001B6C3B" w:rsidP="001B6C3B">
      <w:pPr>
        <w:spacing w:after="0" w:line="240" w:lineRule="auto"/>
        <w:ind w:left="4820"/>
        <w:contextualSpacing/>
        <w:jc w:val="both"/>
        <w:rPr>
          <w:rFonts w:ascii="Times New Roman" w:hAnsi="Times New Roman" w:cs="Times New Roman"/>
          <w:b/>
          <w:sz w:val="24"/>
          <w:szCs w:val="24"/>
        </w:rPr>
      </w:pPr>
      <w:r>
        <w:rPr>
          <w:rFonts w:ascii="Times New Roman" w:hAnsi="Times New Roman" w:cs="Times New Roman"/>
          <w:b/>
          <w:sz w:val="24"/>
          <w:szCs w:val="24"/>
          <w:lang w:val="en-US"/>
        </w:rPr>
        <w:t>Ibrahim</w:t>
      </w:r>
      <w:r w:rsidRPr="00430C1C">
        <w:rPr>
          <w:rFonts w:ascii="Times New Roman" w:hAnsi="Times New Roman" w:cs="Times New Roman"/>
          <w:b/>
          <w:sz w:val="24"/>
          <w:szCs w:val="24"/>
        </w:rPr>
        <w:t xml:space="preserve"> </w:t>
      </w:r>
      <w:r>
        <w:rPr>
          <w:rFonts w:ascii="Times New Roman" w:hAnsi="Times New Roman" w:cs="Times New Roman"/>
          <w:b/>
          <w:sz w:val="24"/>
          <w:szCs w:val="24"/>
          <w:lang w:val="en-US"/>
        </w:rPr>
        <w:t>Mohammad</w:t>
      </w:r>
    </w:p>
    <w:p w14:paraId="321288CC" w14:textId="77777777" w:rsidR="001B6C3B" w:rsidRDefault="001B6C3B" w:rsidP="001B6C3B">
      <w:pPr>
        <w:spacing w:after="0" w:line="240" w:lineRule="auto"/>
        <w:ind w:left="4820"/>
        <w:contextualSpacing/>
        <w:jc w:val="both"/>
        <w:rPr>
          <w:rFonts w:ascii="Times New Roman" w:hAnsi="Times New Roman" w:cs="Times New Roman"/>
          <w:b/>
          <w:sz w:val="24"/>
          <w:szCs w:val="24"/>
          <w:lang w:bidi="ar-SY"/>
        </w:rPr>
      </w:pPr>
      <w:r>
        <w:rPr>
          <w:rFonts w:ascii="Times New Roman" w:hAnsi="Times New Roman" w:cs="Times New Roman"/>
          <w:b/>
          <w:sz w:val="24"/>
          <w:szCs w:val="24"/>
          <w:lang w:bidi="ar-SY"/>
        </w:rPr>
        <w:t xml:space="preserve">Ибрахим </w:t>
      </w:r>
      <w:r>
        <w:rPr>
          <w:rFonts w:ascii="Times New Roman" w:hAnsi="Times New Roman" w:cs="Times New Roman"/>
          <w:b/>
          <w:bCs/>
          <w:sz w:val="24"/>
          <w:szCs w:val="24"/>
        </w:rPr>
        <w:t>Мохаммад</w:t>
      </w:r>
    </w:p>
    <w:p w14:paraId="0C16D035" w14:textId="77777777" w:rsidR="001B6C3B" w:rsidRDefault="001B6C3B" w:rsidP="001B6C3B">
      <w:pPr>
        <w:spacing w:after="0" w:line="240" w:lineRule="auto"/>
        <w:ind w:left="4820"/>
        <w:contextualSpacing/>
        <w:jc w:val="both"/>
        <w:rPr>
          <w:rFonts w:ascii="Times New Roman" w:hAnsi="Times New Roman" w:cs="Times New Roman"/>
          <w:sz w:val="24"/>
          <w:szCs w:val="24"/>
        </w:rPr>
      </w:pPr>
      <w:r>
        <w:rPr>
          <w:rFonts w:ascii="Times New Roman" w:hAnsi="Times New Roman" w:cs="Times New Roman"/>
          <w:sz w:val="24"/>
          <w:szCs w:val="24"/>
        </w:rPr>
        <w:t>магистрант Федеральное государственное бюджетное образовательное учреждение высшего образования«Кубанский государственный аграрный университет имени И.Т. Трубилина»</w:t>
      </w:r>
    </w:p>
    <w:p w14:paraId="623E296A" w14:textId="77777777" w:rsidR="001B6C3B" w:rsidRDefault="001B6C3B" w:rsidP="001B6C3B">
      <w:pPr>
        <w:spacing w:after="0" w:line="240" w:lineRule="auto"/>
        <w:ind w:left="4820"/>
        <w:contextualSpacing/>
        <w:jc w:val="both"/>
        <w:rPr>
          <w:rFonts w:ascii="Times New Roman" w:hAnsi="Times New Roman" w:cs="Times New Roman"/>
          <w:sz w:val="24"/>
          <w:szCs w:val="24"/>
          <w:lang w:val="en-US"/>
        </w:rPr>
      </w:pPr>
      <w:r>
        <w:rPr>
          <w:rFonts w:ascii="Times New Roman" w:hAnsi="Times New Roman" w:cs="Times New Roman"/>
          <w:sz w:val="24"/>
          <w:szCs w:val="24"/>
          <w:lang w:val="en-US"/>
        </w:rPr>
        <w:t>Federal State Budgetary Educational Institution of Higher Education</w:t>
      </w:r>
    </w:p>
    <w:p w14:paraId="05C7AF23" w14:textId="77777777" w:rsidR="001B6C3B" w:rsidRDefault="001B6C3B" w:rsidP="001B6C3B">
      <w:pPr>
        <w:spacing w:after="0" w:line="240" w:lineRule="auto"/>
        <w:ind w:left="4820"/>
        <w:contextualSpacing/>
        <w:jc w:val="both"/>
        <w:rPr>
          <w:rFonts w:ascii="Times New Roman" w:hAnsi="Times New Roman" w:cs="Times New Roman"/>
          <w:sz w:val="24"/>
          <w:szCs w:val="24"/>
          <w:lang w:val="en-US"/>
        </w:rPr>
      </w:pPr>
      <w:r>
        <w:rPr>
          <w:rFonts w:ascii="Times New Roman" w:hAnsi="Times New Roman" w:cs="Times New Roman"/>
          <w:sz w:val="24"/>
          <w:szCs w:val="24"/>
          <w:lang w:val="en-US"/>
        </w:rPr>
        <w:t>«Kuban State Agrarian University named after I.T. Trubilin»</w:t>
      </w:r>
    </w:p>
    <w:p w14:paraId="58968D35" w14:textId="77777777" w:rsidR="001B6C3B" w:rsidRDefault="001B6C3B" w:rsidP="001B6C3B">
      <w:pPr>
        <w:spacing w:after="0" w:line="240" w:lineRule="auto"/>
        <w:ind w:left="4820"/>
        <w:contextualSpacing/>
        <w:jc w:val="both"/>
        <w:rPr>
          <w:rFonts w:ascii="Times New Roman" w:hAnsi="Times New Roman" w:cs="Times New Roman"/>
          <w:sz w:val="24"/>
          <w:szCs w:val="24"/>
        </w:rPr>
      </w:pPr>
      <w:r>
        <w:rPr>
          <w:rFonts w:ascii="Times New Roman" w:hAnsi="Times New Roman" w:cs="Times New Roman"/>
          <w:sz w:val="24"/>
          <w:szCs w:val="24"/>
        </w:rPr>
        <w:t>Российская Федерация, г. Краснодар</w:t>
      </w:r>
    </w:p>
    <w:p w14:paraId="22B40CA3" w14:textId="77777777" w:rsidR="001B6C3B" w:rsidRDefault="001B6C3B" w:rsidP="001B6C3B">
      <w:pPr>
        <w:spacing w:after="0" w:line="240" w:lineRule="auto"/>
        <w:ind w:left="4820"/>
        <w:contextualSpacing/>
        <w:jc w:val="both"/>
        <w:rPr>
          <w:rFonts w:ascii="Times New Roman" w:hAnsi="Times New Roman" w:cs="Times New Roman"/>
          <w:sz w:val="24"/>
          <w:szCs w:val="24"/>
        </w:rPr>
      </w:pPr>
      <w:r>
        <w:rPr>
          <w:rFonts w:ascii="Times New Roman" w:hAnsi="Times New Roman" w:cs="Times New Roman"/>
          <w:sz w:val="24"/>
          <w:szCs w:val="24"/>
        </w:rPr>
        <w:t>Russian Federation, Krasnodar</w:t>
      </w:r>
    </w:p>
    <w:p w14:paraId="70558FA5" w14:textId="77777777" w:rsidR="001B6C3B" w:rsidRDefault="001B6C3B" w:rsidP="001B6C3B">
      <w:pPr>
        <w:spacing w:after="0" w:line="240" w:lineRule="auto"/>
        <w:ind w:left="4820"/>
        <w:contextualSpacing/>
        <w:jc w:val="both"/>
        <w:rPr>
          <w:rFonts w:ascii="Times New Roman" w:hAnsi="Times New Roman" w:cs="Times New Roman"/>
          <w:sz w:val="24"/>
          <w:szCs w:val="24"/>
        </w:rPr>
      </w:pPr>
      <w:r>
        <w:rPr>
          <w:rFonts w:ascii="Times New Roman" w:hAnsi="Times New Roman" w:cs="Times New Roman"/>
          <w:sz w:val="24"/>
          <w:szCs w:val="24"/>
          <w:lang w:val="en-US"/>
        </w:rPr>
        <w:t>Hamadasaint</w:t>
      </w:r>
      <w:r>
        <w:rPr>
          <w:rFonts w:ascii="Times New Roman" w:hAnsi="Times New Roman" w:cs="Times New Roman"/>
          <w:sz w:val="24"/>
          <w:szCs w:val="24"/>
        </w:rPr>
        <w:t>7@</w:t>
      </w:r>
      <w:r>
        <w:rPr>
          <w:rFonts w:ascii="Times New Roman" w:hAnsi="Times New Roman" w:cs="Times New Roman"/>
          <w:sz w:val="24"/>
          <w:szCs w:val="24"/>
          <w:lang w:val="en-US"/>
        </w:rPr>
        <w:t>gmail</w:t>
      </w:r>
      <w:r>
        <w:rPr>
          <w:rFonts w:ascii="Times New Roman" w:hAnsi="Times New Roman" w:cs="Times New Roman"/>
          <w:sz w:val="24"/>
          <w:szCs w:val="24"/>
        </w:rPr>
        <w:t>.</w:t>
      </w:r>
      <w:r>
        <w:rPr>
          <w:rFonts w:ascii="Times New Roman" w:hAnsi="Times New Roman" w:cs="Times New Roman"/>
          <w:sz w:val="24"/>
          <w:szCs w:val="24"/>
          <w:lang w:val="en-US"/>
        </w:rPr>
        <w:t>com</w:t>
      </w:r>
    </w:p>
    <w:p w14:paraId="1D74A341" w14:textId="77777777" w:rsidR="001B6C3B" w:rsidRDefault="001B6C3B" w:rsidP="001B6C3B">
      <w:pPr>
        <w:spacing w:after="0" w:line="240" w:lineRule="auto"/>
        <w:ind w:left="4820"/>
        <w:contextualSpacing/>
        <w:jc w:val="both"/>
        <w:rPr>
          <w:rFonts w:ascii="Times New Roman" w:hAnsi="Times New Roman" w:cs="Times New Roman"/>
          <w:sz w:val="24"/>
          <w:szCs w:val="24"/>
        </w:rPr>
      </w:pPr>
      <w:r>
        <w:rPr>
          <w:rFonts w:ascii="Times New Roman" w:hAnsi="Times New Roman" w:cs="Times New Roman"/>
          <w:sz w:val="24"/>
          <w:szCs w:val="24"/>
        </w:rPr>
        <w:t>Научный руководитель:</w:t>
      </w:r>
    </w:p>
    <w:p w14:paraId="1EA7C743" w14:textId="77777777" w:rsidR="001B6C3B" w:rsidRDefault="001B6C3B" w:rsidP="001B6C3B">
      <w:pPr>
        <w:spacing w:after="0" w:line="240" w:lineRule="auto"/>
        <w:ind w:left="4820"/>
        <w:contextualSpacing/>
        <w:jc w:val="both"/>
        <w:rPr>
          <w:rFonts w:ascii="Times New Roman" w:hAnsi="Times New Roman" w:cs="Times New Roman"/>
          <w:sz w:val="24"/>
          <w:szCs w:val="24"/>
        </w:rPr>
      </w:pPr>
      <w:r>
        <w:rPr>
          <w:rFonts w:ascii="Times New Roman" w:hAnsi="Times New Roman" w:cs="Times New Roman"/>
          <w:bCs/>
          <w:sz w:val="24"/>
          <w:szCs w:val="24"/>
        </w:rPr>
        <w:t>Камышанский Владимир Павлович Заведующий кафедрой гражданского права</w:t>
      </w:r>
    </w:p>
    <w:p w14:paraId="2594163B" w14:textId="77777777" w:rsidR="001B6C3B" w:rsidRDefault="001B6C3B" w:rsidP="001B6C3B">
      <w:pPr>
        <w:spacing w:after="0" w:line="240" w:lineRule="auto"/>
        <w:ind w:firstLine="709"/>
        <w:contextualSpacing/>
        <w:jc w:val="both"/>
        <w:rPr>
          <w:rFonts w:ascii="Times New Roman" w:hAnsi="Times New Roman" w:cs="Times New Roman"/>
          <w:bCs/>
          <w:sz w:val="24"/>
          <w:szCs w:val="24"/>
        </w:rPr>
      </w:pPr>
    </w:p>
    <w:p w14:paraId="3D259473" w14:textId="77777777" w:rsidR="001B6C3B" w:rsidRDefault="001B6C3B" w:rsidP="001B6C3B">
      <w:pPr>
        <w:spacing w:after="0" w:line="240" w:lineRule="auto"/>
        <w:ind w:firstLine="709"/>
        <w:contextualSpacing/>
        <w:jc w:val="center"/>
        <w:rPr>
          <w:rFonts w:ascii="Times New Roman" w:hAnsi="Times New Roman" w:cs="Times New Roman"/>
          <w:b/>
          <w:sz w:val="24"/>
          <w:szCs w:val="24"/>
        </w:rPr>
      </w:pPr>
      <w:r>
        <w:rPr>
          <w:rFonts w:ascii="Times New Roman" w:hAnsi="Times New Roman" w:cs="Times New Roman"/>
          <w:b/>
          <w:sz w:val="24"/>
          <w:szCs w:val="24"/>
        </w:rPr>
        <w:t>СОСЕДСКИЕ ПРАВА КАК ОСНОВАНИЯ ОГРАНИЧЕНИЙ И ПРЕКРАЩЕНИЯ ПРАВА СОБСТВЕННОСТИ НА СМЕЖНЫЕ УЧАСТКИ</w:t>
      </w:r>
    </w:p>
    <w:p w14:paraId="65BCD066" w14:textId="77777777" w:rsidR="001B6C3B" w:rsidRDefault="001B6C3B" w:rsidP="001B6C3B">
      <w:pPr>
        <w:spacing w:after="0" w:line="240" w:lineRule="auto"/>
        <w:ind w:firstLine="709"/>
        <w:contextualSpacing/>
        <w:jc w:val="center"/>
        <w:rPr>
          <w:rFonts w:ascii="Times New Roman" w:hAnsi="Times New Roman" w:cs="Times New Roman"/>
          <w:b/>
          <w:sz w:val="24"/>
          <w:szCs w:val="24"/>
        </w:rPr>
      </w:pPr>
    </w:p>
    <w:p w14:paraId="1793C3FB" w14:textId="77777777" w:rsidR="001B6C3B" w:rsidRDefault="001B6C3B" w:rsidP="001B6C3B">
      <w:pPr>
        <w:spacing w:after="0" w:line="240" w:lineRule="auto"/>
        <w:ind w:firstLine="709"/>
        <w:contextualSpacing/>
        <w:jc w:val="center"/>
        <w:rPr>
          <w:rFonts w:ascii="Times New Roman" w:hAnsi="Times New Roman" w:cs="Times New Roman"/>
          <w:b/>
          <w:sz w:val="24"/>
          <w:szCs w:val="24"/>
          <w:lang w:val="en-US"/>
        </w:rPr>
      </w:pPr>
      <w:r>
        <w:rPr>
          <w:rFonts w:ascii="Times New Roman" w:hAnsi="Times New Roman" w:cs="Times New Roman"/>
          <w:b/>
          <w:sz w:val="24"/>
          <w:szCs w:val="24"/>
          <w:lang w:val="en-US"/>
        </w:rPr>
        <w:t>NEIGHBORHOOD RIGHTS AS A BASIS FOR RESTRICTIONS AND TERMINATION OF PROPERTY RIGHTS TO RELATED PLOTS</w:t>
      </w:r>
    </w:p>
    <w:p w14:paraId="1AD22F61" w14:textId="77777777" w:rsidR="001B6C3B" w:rsidRDefault="001B6C3B" w:rsidP="001B6C3B">
      <w:pPr>
        <w:spacing w:after="0" w:line="240" w:lineRule="auto"/>
        <w:ind w:firstLine="709"/>
        <w:contextualSpacing/>
        <w:jc w:val="both"/>
        <w:rPr>
          <w:rFonts w:ascii="Times New Roman" w:hAnsi="Times New Roman" w:cs="Times New Roman"/>
          <w:bCs/>
          <w:i/>
          <w:iCs/>
          <w:sz w:val="24"/>
          <w:szCs w:val="24"/>
          <w:lang w:val="en-US"/>
        </w:rPr>
      </w:pPr>
    </w:p>
    <w:p w14:paraId="0C7062C0" w14:textId="77777777" w:rsidR="001B6C3B" w:rsidRDefault="001B6C3B" w:rsidP="001B6C3B">
      <w:pPr>
        <w:spacing w:after="0" w:line="240" w:lineRule="auto"/>
        <w:ind w:firstLine="709"/>
        <w:contextualSpacing/>
        <w:jc w:val="both"/>
        <w:rPr>
          <w:rFonts w:ascii="Times New Roman" w:hAnsi="Times New Roman" w:cs="Times New Roman"/>
          <w:bCs/>
          <w:sz w:val="24"/>
          <w:szCs w:val="24"/>
        </w:rPr>
      </w:pPr>
      <w:r>
        <w:rPr>
          <w:rFonts w:ascii="Times New Roman" w:hAnsi="Times New Roman" w:cs="Times New Roman"/>
          <w:bCs/>
          <w:i/>
          <w:iCs/>
          <w:sz w:val="24"/>
          <w:szCs w:val="24"/>
        </w:rPr>
        <w:t>Аннотация</w:t>
      </w:r>
      <w:r>
        <w:rPr>
          <w:rFonts w:ascii="Times New Roman" w:hAnsi="Times New Roman" w:cs="Times New Roman"/>
          <w:sz w:val="24"/>
          <w:szCs w:val="24"/>
        </w:rPr>
        <w:t xml:space="preserve"> </w:t>
      </w:r>
      <w:r>
        <w:rPr>
          <w:rFonts w:ascii="Times New Roman" w:hAnsi="Times New Roman" w:cs="Times New Roman"/>
          <w:bCs/>
          <w:sz w:val="24"/>
          <w:szCs w:val="24"/>
        </w:rPr>
        <w:t>Правовая категория «соседское право» давно известна цивилистике. В силу своего естественного происхождения соседские права как ограничения права собственности в интересах соседа были известны ещё римскому частному праву. Нормы римского права были заимствованы многими правопорядками, усовершенствованы и приспособлены к социально-экономическому укладу того или иного государства. Однако можно утверждать, что формирование самостоятельного гражданско-правового института произошло не сразу.</w:t>
      </w:r>
    </w:p>
    <w:p w14:paraId="4E89104E" w14:textId="77777777" w:rsidR="001B6C3B" w:rsidRDefault="001B6C3B" w:rsidP="001B6C3B">
      <w:pPr>
        <w:spacing w:after="0" w:line="240" w:lineRule="auto"/>
        <w:ind w:firstLine="709"/>
        <w:contextualSpacing/>
        <w:jc w:val="both"/>
        <w:rPr>
          <w:rFonts w:ascii="Times New Roman" w:hAnsi="Times New Roman" w:cs="Times New Roman"/>
          <w:bCs/>
          <w:sz w:val="24"/>
          <w:szCs w:val="24"/>
        </w:rPr>
      </w:pPr>
    </w:p>
    <w:p w14:paraId="7B434EC8" w14:textId="77777777" w:rsidR="001B6C3B" w:rsidRDefault="001B6C3B" w:rsidP="001B6C3B">
      <w:pPr>
        <w:spacing w:after="0" w:line="240" w:lineRule="auto"/>
        <w:ind w:firstLine="709"/>
        <w:contextualSpacing/>
        <w:jc w:val="both"/>
        <w:rPr>
          <w:rFonts w:ascii="Times New Roman" w:hAnsi="Times New Roman" w:cs="Times New Roman"/>
          <w:bCs/>
          <w:sz w:val="24"/>
          <w:szCs w:val="24"/>
        </w:rPr>
      </w:pPr>
      <w:r>
        <w:rPr>
          <w:rFonts w:ascii="Times New Roman" w:hAnsi="Times New Roman" w:cs="Times New Roman"/>
          <w:bCs/>
          <w:i/>
          <w:iCs/>
          <w:sz w:val="24"/>
          <w:szCs w:val="24"/>
        </w:rPr>
        <w:t xml:space="preserve">Ключевые </w:t>
      </w:r>
      <w:r>
        <w:rPr>
          <w:rFonts w:ascii="Times New Roman" w:hAnsi="Times New Roman" w:cs="Times New Roman"/>
          <w:bCs/>
          <w:sz w:val="24"/>
          <w:szCs w:val="24"/>
        </w:rPr>
        <w:t>соседские права, ограничение права собственности, прекращение права собственности, смежные участки</w:t>
      </w:r>
    </w:p>
    <w:p w14:paraId="603255AD" w14:textId="77777777" w:rsidR="001B6C3B" w:rsidRDefault="001B6C3B" w:rsidP="001B6C3B">
      <w:pPr>
        <w:spacing w:after="0" w:line="240" w:lineRule="auto"/>
        <w:ind w:firstLine="709"/>
        <w:contextualSpacing/>
        <w:jc w:val="both"/>
        <w:rPr>
          <w:rFonts w:ascii="Times New Roman" w:hAnsi="Times New Roman" w:cs="Times New Roman"/>
          <w:i/>
          <w:iCs/>
          <w:sz w:val="24"/>
          <w:szCs w:val="24"/>
        </w:rPr>
      </w:pPr>
    </w:p>
    <w:p w14:paraId="060DB3FB" w14:textId="77777777" w:rsidR="001B6C3B" w:rsidRDefault="001B6C3B" w:rsidP="001B6C3B">
      <w:pPr>
        <w:spacing w:after="0" w:line="240" w:lineRule="auto"/>
        <w:ind w:firstLine="709"/>
        <w:contextualSpacing/>
        <w:jc w:val="both"/>
        <w:rPr>
          <w:rFonts w:ascii="Times New Roman" w:hAnsi="Times New Roman" w:cs="Times New Roman"/>
          <w:sz w:val="24"/>
          <w:szCs w:val="24"/>
          <w:lang w:val="en-US"/>
        </w:rPr>
      </w:pPr>
      <w:r>
        <w:rPr>
          <w:rFonts w:ascii="Times New Roman" w:hAnsi="Times New Roman" w:cs="Times New Roman"/>
          <w:i/>
          <w:iCs/>
          <w:sz w:val="24"/>
          <w:szCs w:val="24"/>
          <w:lang w:val="en-US"/>
        </w:rPr>
        <w:t>Annotation</w:t>
      </w:r>
      <w:r>
        <w:rPr>
          <w:rFonts w:ascii="Times New Roman" w:hAnsi="Times New Roman" w:cs="Times New Roman"/>
          <w:sz w:val="24"/>
          <w:szCs w:val="24"/>
          <w:lang w:val="en-US"/>
        </w:rPr>
        <w:t>:  The legal category of "neighborly law" has long been known to civil law. By virtue of their natural origin, neighboring rights as restrictions on property rights in the interests of a neighbor were still known to Roman private law. The norms of Roman law were borrowed by many legal orders, improved and adapted to the socio-economic structure of a state. However, it can be argued that the formation of an independent civil law institution did not happen immediately.</w:t>
      </w:r>
    </w:p>
    <w:p w14:paraId="56BE4766" w14:textId="77777777" w:rsidR="001B6C3B" w:rsidRDefault="001B6C3B" w:rsidP="001B6C3B">
      <w:pPr>
        <w:spacing w:after="0" w:line="240" w:lineRule="auto"/>
        <w:ind w:firstLine="709"/>
        <w:contextualSpacing/>
        <w:jc w:val="both"/>
        <w:rPr>
          <w:rFonts w:ascii="Times New Roman" w:hAnsi="Times New Roman" w:cs="Times New Roman"/>
          <w:sz w:val="24"/>
          <w:szCs w:val="24"/>
          <w:lang w:val="en-US"/>
        </w:rPr>
      </w:pPr>
    </w:p>
    <w:p w14:paraId="5CC5FC21" w14:textId="77777777" w:rsidR="001B6C3B" w:rsidRDefault="001B6C3B" w:rsidP="001B6C3B">
      <w:pPr>
        <w:spacing w:after="0" w:line="240" w:lineRule="auto"/>
        <w:ind w:firstLine="709"/>
        <w:contextualSpacing/>
        <w:jc w:val="both"/>
        <w:rPr>
          <w:rFonts w:ascii="Times New Roman" w:hAnsi="Times New Roman" w:cs="Times New Roman"/>
          <w:sz w:val="24"/>
          <w:szCs w:val="24"/>
          <w:lang w:val="en-US"/>
        </w:rPr>
      </w:pPr>
      <w:r>
        <w:rPr>
          <w:rFonts w:ascii="Times New Roman" w:hAnsi="Times New Roman" w:cs="Times New Roman"/>
          <w:i/>
          <w:iCs/>
          <w:sz w:val="24"/>
          <w:szCs w:val="24"/>
          <w:lang w:val="en-US"/>
        </w:rPr>
        <w:t>Keywords</w:t>
      </w:r>
      <w:r>
        <w:rPr>
          <w:rFonts w:ascii="Times New Roman" w:hAnsi="Times New Roman" w:cs="Times New Roman"/>
          <w:sz w:val="24"/>
          <w:szCs w:val="24"/>
          <w:lang w:val="en-US"/>
        </w:rPr>
        <w:t>: neighboring rights, restriction of ownership, termination of ownership, adjacent plots</w:t>
      </w:r>
    </w:p>
    <w:p w14:paraId="3266634B" w14:textId="77777777" w:rsidR="001B6C3B" w:rsidRDefault="001B6C3B" w:rsidP="001B6C3B">
      <w:pPr>
        <w:spacing w:after="0" w:line="240" w:lineRule="auto"/>
        <w:ind w:firstLine="709"/>
        <w:contextualSpacing/>
        <w:jc w:val="both"/>
        <w:rPr>
          <w:rFonts w:ascii="Times New Roman" w:hAnsi="Times New Roman" w:cs="Times New Roman"/>
          <w:sz w:val="24"/>
          <w:szCs w:val="24"/>
          <w:lang w:val="en-US"/>
        </w:rPr>
      </w:pPr>
    </w:p>
    <w:p w14:paraId="1CFBFDE7" w14:textId="77777777" w:rsidR="001B6C3B" w:rsidRDefault="001B6C3B" w:rsidP="001B6C3B">
      <w:pPr>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До настоящего времени в российском праве не было специального гражданско-правового института соседского права. Актуальность обращения к правовому институту «соседское право» обуславливается наличием большого количества правовых конфликтов, возникающих между обладателями соседних земельных участков, и в то же время отсутствием должного правового регулирования соседских отношений [5].</w:t>
      </w:r>
    </w:p>
    <w:p w14:paraId="0A484F9A" w14:textId="77777777" w:rsidR="001B6C3B" w:rsidRDefault="001B6C3B" w:rsidP="001B6C3B">
      <w:pPr>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 xml:space="preserve">Отсутствие совершенного правового регулирования соседских отношений в российском гражданском праве, неоднократно отмечаемое современными правоведами, </w:t>
      </w:r>
      <w:r>
        <w:rPr>
          <w:rFonts w:ascii="Times New Roman" w:hAnsi="Times New Roman" w:cs="Times New Roman"/>
          <w:sz w:val="24"/>
          <w:szCs w:val="24"/>
        </w:rPr>
        <w:lastRenderedPageBreak/>
        <w:t>следует признать в качестве пробела действующего законодательства. Поэтому в настоящее время предлагается ввести в гражданское законодательство положения о регулировании ограничений права собственности в интересах соседей (соседского права). Однако до сих пор многие аспекты данного института остаются малоисследованными.</w:t>
      </w:r>
    </w:p>
    <w:p w14:paraId="132281C4" w14:textId="77777777" w:rsidR="001B6C3B" w:rsidRDefault="001B6C3B" w:rsidP="001B6C3B">
      <w:pPr>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Для возникновения, ограничения и прекращения прав на земельные участки у собственников, землепользователей, землевладельцев, арендаторов, обладателей сервитутов необходимо наличие определенных обстоятельств, указанных в законе.</w:t>
      </w:r>
    </w:p>
    <w:p w14:paraId="2DD9063C" w14:textId="77777777" w:rsidR="001B6C3B" w:rsidRDefault="001B6C3B" w:rsidP="001B6C3B">
      <w:pPr>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Обстоятельства, с которыми закон связывает возникновение, изменение, прекращение прав на землю собственников земельных участков, землепользователей, землевладельцев, арендаторов земельных участков, обладателей сервитутов, называются юридическими фактами.</w:t>
      </w:r>
    </w:p>
    <w:p w14:paraId="79D0F0F4" w14:textId="77777777" w:rsidR="001B6C3B" w:rsidRDefault="001B6C3B" w:rsidP="001B6C3B">
      <w:pPr>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В части, касающейся оснований возникновения прав на землю, ст. 25 ЗК РФ содержит отсылку к актам гражданского законодательства и федеральным законам, выделяющим юридические события, правомерные действия, которые служат основанием:</w:t>
      </w:r>
    </w:p>
    <w:p w14:paraId="5FB8B394" w14:textId="77777777" w:rsidR="001B6C3B" w:rsidRDefault="001B6C3B" w:rsidP="001B6C3B">
      <w:pPr>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 возникновения, прекращения и ограничения прав на землю;</w:t>
      </w:r>
    </w:p>
    <w:p w14:paraId="4BCE272E" w14:textId="77777777" w:rsidR="001B6C3B" w:rsidRDefault="001B6C3B" w:rsidP="001B6C3B">
      <w:pPr>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 приобретения прав на земельные участки, на которых находятся сооружения, входящие в состав кондоминиума; предоставления в общую собственность домовладельцев земельных участков, на которых находятся сооружения, входящие в состав кондоминиума, жилые здания и иные строения и другие юридические факты [7].</w:t>
      </w:r>
    </w:p>
    <w:p w14:paraId="3EC1F790" w14:textId="77777777" w:rsidR="001B6C3B" w:rsidRDefault="001B6C3B" w:rsidP="001B6C3B">
      <w:pPr>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Основаниями прекращения прав на землю выступают юридические факты. В зависимости от вида права на землю можно выделить несколько групп оснований прекращения прав собственников земли, землевладельцев и землепользователей [2].</w:t>
      </w:r>
    </w:p>
    <w:p w14:paraId="32431FB6" w14:textId="77777777" w:rsidR="001B6C3B" w:rsidRDefault="001B6C3B" w:rsidP="001B6C3B">
      <w:pPr>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Прекращение права частной собственности на земельный участок наступает в случаях: отчуждения земельного участка путем реализации права распоряжения (дарение, продажа, мена); смерти собственника; ликвидации юридического лица, являющегося собственником земельного участка.</w:t>
      </w:r>
    </w:p>
    <w:p w14:paraId="54245F22" w14:textId="77777777" w:rsidR="001B6C3B" w:rsidRDefault="001B6C3B" w:rsidP="001B6C3B">
      <w:pPr>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Права собственности на земельный участок прекращаются также в связи с обращением на него взысканий по обязательствам собственника (ст. 237 ГК РФ), в том случае, если земельный участок является предметом обеспечения данного обязательства (например, предметом залога).</w:t>
      </w:r>
    </w:p>
    <w:p w14:paraId="12628946" w14:textId="77777777" w:rsidR="001B6C3B" w:rsidRDefault="001B6C3B" w:rsidP="001B6C3B">
      <w:pPr>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Отказ от права собственности также является основанием прекращения права собственности на земельный участок. Но в соответствии со ст. 236 ГК РФ сам отказ от права собственности не влечет прекращения прав и обязанностей собственника в отношении земельного участка до принятия права собственности на него другими лицами [11].</w:t>
      </w:r>
    </w:p>
    <w:p w14:paraId="693907D0" w14:textId="77777777" w:rsidR="001B6C3B" w:rsidRDefault="001B6C3B" w:rsidP="001B6C3B">
      <w:pPr>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Основаниями для прекращения права пользования земельным участком могут выступать акты государственных органов управления или акты органов местного самоуправления об изъятии (или выкупе) земельных участков соответственно для государственных или муниципальных нужд (ст. 49 ЗК); добровольный отказ от пользования земельным участком, истечение срока арендного договора.</w:t>
      </w:r>
    </w:p>
    <w:p w14:paraId="4BED980B" w14:textId="77777777" w:rsidR="001B6C3B" w:rsidRDefault="001B6C3B" w:rsidP="001B6C3B">
      <w:pPr>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В качестве оснований для прекращения прав пользования земельным участком могут выступать также неправомерные действия землепользователя [4]:</w:t>
      </w:r>
    </w:p>
    <w:p w14:paraId="74EEC3E5" w14:textId="77777777" w:rsidR="001B6C3B" w:rsidRDefault="001B6C3B" w:rsidP="001B6C3B">
      <w:pPr>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 нарушения принципа целевого использования земли (ст. 1, 45, 46 ЗК), использование земельного участка способами, которые приводят к существенному снижению плодородия сельскохозяйственных земель или ухудшению экологической обстановки в регионе (ст. 6 ФЗ «Об обороте земель сельскохозяйственного назначения»);</w:t>
      </w:r>
    </w:p>
    <w:p w14:paraId="06DE2999" w14:textId="77777777" w:rsidR="001B6C3B" w:rsidRDefault="001B6C3B" w:rsidP="001B6C3B">
      <w:pPr>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 неустранение совершенных умышленно таких земельных правонарушений, как отравление, загрязнение, порча или уничтожение плодородного слоя почвы (ст. 45 ЗК).</w:t>
      </w:r>
    </w:p>
    <w:p w14:paraId="13EE7A5F" w14:textId="77777777" w:rsidR="001B6C3B" w:rsidRDefault="001B6C3B" w:rsidP="001B6C3B">
      <w:pPr>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Аренда земельного участка прекращается по основаниям и в порядке, предусмотренных гражданским законодательством (п. 1 ст. 46 ЗК и ст. 415, 619, 620 ГК) - по соглашению сторон, по решению суда, по истечении срока аренды при наличии письменного заявления арендодателя (перечень не является исчерпывающим). Кроме того, основания прекращения права аренды предусмотрены и земельным законодательством (п. 2 ст.46 ЗК).</w:t>
      </w:r>
    </w:p>
    <w:p w14:paraId="3ED9534C" w14:textId="77777777" w:rsidR="001B6C3B" w:rsidRDefault="001B6C3B" w:rsidP="001B6C3B">
      <w:pPr>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lastRenderedPageBreak/>
        <w:t>Основания и порядок изъятия земельных участков для государственных или муниципальных нужд предусмотрены ст. 49 и 55 ЗК и ст. 279 - 283 ГК.</w:t>
      </w:r>
    </w:p>
    <w:p w14:paraId="325D5AB5" w14:textId="77777777" w:rsidR="001B6C3B" w:rsidRDefault="001B6C3B" w:rsidP="001B6C3B">
      <w:pPr>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Право землепользования может прекратиться также в случае прекращения трудовых отношений землепользователя и организации, предоставившей ему служебный земельный надел (п. 2 ст. 47 ЗК) [1].</w:t>
      </w:r>
    </w:p>
    <w:p w14:paraId="426DB243" w14:textId="77777777" w:rsidR="001B6C3B" w:rsidRDefault="001B6C3B" w:rsidP="001B6C3B">
      <w:pPr>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Частный сервитут может быть прекращен по требованию собственника земельного участка, обремененного сервитутом, ввиду отпадения оснований, по которым он был установлен (ст. 276 ГК). Публичный сервитут может быть прекращен в случае отсутствия общественных нужд, для которых он был установлен, путем принятия акта об отмене сервитута (ст. 48 ЗК).</w:t>
      </w:r>
    </w:p>
    <w:p w14:paraId="055C8C62" w14:textId="77777777" w:rsidR="001B6C3B" w:rsidRDefault="001B6C3B" w:rsidP="001B6C3B">
      <w:pPr>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Статьи 50 и 51 Земельного кодекса РФ в качестве оснований для прекращения права пользования земельным участком предусматривают такие действия государственных органов как конфискация земельного участка и реквизиция.</w:t>
      </w:r>
    </w:p>
    <w:p w14:paraId="4A824F7C" w14:textId="77777777" w:rsidR="001B6C3B" w:rsidRDefault="001B6C3B" w:rsidP="001B6C3B">
      <w:pPr>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Земельный участок может быть безвозмездно изъят (конфискован) у его собственника только по решению суда в виде санкции за совершение преступления.</w:t>
      </w:r>
    </w:p>
    <w:p w14:paraId="0430379E" w14:textId="77777777" w:rsidR="001B6C3B" w:rsidRDefault="001B6C3B" w:rsidP="001B6C3B">
      <w:pPr>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В целях защиты жизненно важных интересов граждан, общества и государства в случаях стихийных бедствий, аварий, иных обстоятельств, носящих чрезвычайный характер, земельный участок может быть временно изъят (реквизирован) у его собственника уполномоченными исполнительными органами государственной власти с возмещением собственнику земельного участка причиненных убытков. Собственнику выдается документ о реквизиции.</w:t>
      </w:r>
    </w:p>
    <w:p w14:paraId="48D26DA2" w14:textId="77777777" w:rsidR="001B6C3B" w:rsidRDefault="001B6C3B" w:rsidP="001B6C3B">
      <w:pPr>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Особенности земли как уникального объекта природы обуславливают ограничения ее оборотоспособности, предусмотренные гражданским и земельным законодательством. Поэтому, земельные участки могут отчуждаться или иным способом переходить от одного лица к другому только в той мере, в какой их оборот допускается законами о земле и других природных ресурсах. Так, ст. 260 ГК устанавливает, что лица, имеющие в собственности земельный участок, вправе продавать его, дарить, отдавать в залог или сдавать в аренду и распоряжаться им иным образом только при условии, если соответствующие земли на основании закона не исключены из оборота или не ограничены в обороте [3].</w:t>
      </w:r>
    </w:p>
    <w:p w14:paraId="4BC4B365" w14:textId="77777777" w:rsidR="001B6C3B" w:rsidRDefault="001B6C3B" w:rsidP="001B6C3B">
      <w:pPr>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В силу объективных причин, собственник при использовании земельного участка должен учитывать природоохранные (экологические) требования и запреты, целевое назначение данных земельных участков, требования закона по их рациональному использованию, права и интересы соседствующих пользователей и т.д.</w:t>
      </w:r>
    </w:p>
    <w:p w14:paraId="542317D6" w14:textId="77777777" w:rsidR="001B6C3B" w:rsidRDefault="001B6C3B" w:rsidP="001B6C3B">
      <w:pPr>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Ограничения прав на земельные участки подразделяются на общие и специальные. Соблюдение природоохранных, ветеринарных, санитарных и иных правил федерального, регионального или местно- го характера - ограничения общего характера. Ограничение этажности застройки, сервитуты, резервирование территорий и прочее - ограничения специального характера.</w:t>
      </w:r>
    </w:p>
    <w:p w14:paraId="61564707" w14:textId="77777777" w:rsidR="001B6C3B" w:rsidRDefault="001B6C3B" w:rsidP="001B6C3B">
      <w:pPr>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Ограничения прав на землю могут носить временный и постоянный характер.</w:t>
      </w:r>
    </w:p>
    <w:p w14:paraId="45EFD306" w14:textId="77777777" w:rsidR="001B6C3B" w:rsidRDefault="001B6C3B" w:rsidP="001B6C3B">
      <w:pPr>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Передача земли в частную собственность или иную форму владения не лишает государства права устанавливать ограничения в ее использовании в интересах охраны природы, памятников культуры, с целью соблюдения прав и законных интересов третьих лиц, а также в экстремальных ситуациях.</w:t>
      </w:r>
    </w:p>
    <w:p w14:paraId="1C7F7435" w14:textId="77777777" w:rsidR="001B6C3B" w:rsidRDefault="001B6C3B" w:rsidP="001B6C3B">
      <w:pPr>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Таким образом, ограничения прав на земельный участок подлежат государственной регистрации в Единый государственный реестр прав на недвижимое имущество и сделок с ним. С момента регистрации ограничения права на земельный участок ограничение считается принадлежностью данного земельного участка и при отчуждении последнего, следуют судьбе земельного участка и не могут отчуждаться отдельно от него.</w:t>
      </w:r>
    </w:p>
    <w:p w14:paraId="6099E5BA" w14:textId="77777777" w:rsidR="001B6C3B" w:rsidRDefault="001B6C3B" w:rsidP="001B6C3B">
      <w:pPr>
        <w:spacing w:after="0" w:line="240" w:lineRule="auto"/>
        <w:ind w:firstLine="709"/>
        <w:contextualSpacing/>
        <w:jc w:val="both"/>
        <w:rPr>
          <w:rFonts w:ascii="Times New Roman" w:hAnsi="Times New Roman" w:cs="Times New Roman"/>
          <w:sz w:val="24"/>
          <w:szCs w:val="24"/>
        </w:rPr>
      </w:pPr>
    </w:p>
    <w:p w14:paraId="0B0EED8F" w14:textId="77777777" w:rsidR="001B6C3B" w:rsidRDefault="001B6C3B" w:rsidP="001B6C3B">
      <w:pPr>
        <w:spacing w:after="0" w:line="240" w:lineRule="auto"/>
        <w:ind w:firstLine="709"/>
        <w:contextualSpacing/>
        <w:jc w:val="both"/>
        <w:rPr>
          <w:rFonts w:ascii="Times New Roman" w:hAnsi="Times New Roman" w:cs="Times New Roman"/>
          <w:sz w:val="24"/>
          <w:szCs w:val="24"/>
        </w:rPr>
      </w:pPr>
    </w:p>
    <w:p w14:paraId="56BC4A62" w14:textId="77777777" w:rsidR="001B6C3B" w:rsidRDefault="001B6C3B" w:rsidP="001B6C3B">
      <w:pPr>
        <w:spacing w:after="0" w:line="240" w:lineRule="auto"/>
        <w:ind w:firstLine="709"/>
        <w:contextualSpacing/>
        <w:jc w:val="both"/>
        <w:rPr>
          <w:rFonts w:ascii="Times New Roman" w:hAnsi="Times New Roman" w:cs="Times New Roman"/>
          <w:b/>
          <w:bCs/>
          <w:sz w:val="24"/>
          <w:szCs w:val="24"/>
          <w:lang w:bidi="ar-SY"/>
        </w:rPr>
      </w:pPr>
      <w:r>
        <w:rPr>
          <w:rFonts w:ascii="Times New Roman" w:hAnsi="Times New Roman" w:cs="Times New Roman"/>
          <w:b/>
          <w:bCs/>
          <w:sz w:val="24"/>
          <w:szCs w:val="24"/>
          <w:lang w:bidi="ar-SY"/>
        </w:rPr>
        <w:t>Библиографический спсок</w:t>
      </w:r>
    </w:p>
    <w:p w14:paraId="107E7DBA" w14:textId="77777777" w:rsidR="001B6C3B" w:rsidRDefault="001B6C3B" w:rsidP="001B6C3B">
      <w:pPr>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lastRenderedPageBreak/>
        <w:t>1. Малахов, В. П. Теория государства и права / В.П. Малахов, И.А. Горшенева, А.А. Иванов. - М.: Юнити-Дана, Закон и право, 2016. - 160 c.</w:t>
      </w:r>
    </w:p>
    <w:p w14:paraId="5FAA002A" w14:textId="77777777" w:rsidR="001B6C3B" w:rsidRDefault="001B6C3B" w:rsidP="001B6C3B">
      <w:pPr>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2. Оксамытный, В. В. Общая теория государства и права / В.В. Оксамытный. - М.: Юнити-Дана, 2017. - 512 c.</w:t>
      </w:r>
    </w:p>
    <w:p w14:paraId="17D542EC" w14:textId="77777777" w:rsidR="001B6C3B" w:rsidRDefault="001B6C3B" w:rsidP="001B6C3B">
      <w:pPr>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3. Перевалов, В.Д.  Теория государства и права 5-е изд., пер. и доп. Учебник и практикум для прикладного бакалавриата / Виктор Дмитриевич Перевалов. - М.: Юрайт, 2016. - 729 c.</w:t>
      </w:r>
    </w:p>
    <w:p w14:paraId="6B750E48" w14:textId="77777777" w:rsidR="001B6C3B" w:rsidRDefault="001B6C3B" w:rsidP="001B6C3B">
      <w:pPr>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4. Перевалов, В.Д. Теория государства и права / В.Д. Перевалов. - М.: Норма, 2018. - 230 c.</w:t>
      </w:r>
    </w:p>
    <w:p w14:paraId="04B1C2FE" w14:textId="77777777" w:rsidR="001B6C3B" w:rsidRDefault="001B6C3B" w:rsidP="001B6C3B">
      <w:pPr>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5. Старков, О. В. Теория государства и права / О.В. Старков, И.В. Упоров. - М.: Дашков и Ко, 2017. - 372 c.</w:t>
      </w:r>
    </w:p>
    <w:p w14:paraId="32922DDE" w14:textId="77777777" w:rsidR="001B6C3B" w:rsidRDefault="001B6C3B" w:rsidP="001B6C3B">
      <w:pPr>
        <w:spacing w:after="0" w:line="240" w:lineRule="auto"/>
        <w:rPr>
          <w:rFonts w:ascii="Times New Roman" w:hAnsi="Times New Roman" w:cs="Times New Roman"/>
          <w:sz w:val="24"/>
          <w:szCs w:val="24"/>
        </w:rPr>
        <w:sectPr w:rsidR="001B6C3B">
          <w:footnotePr>
            <w:numRestart w:val="eachPage"/>
          </w:footnotePr>
          <w:pgSz w:w="11906" w:h="16838"/>
          <w:pgMar w:top="1134" w:right="1134" w:bottom="1134" w:left="1134" w:header="709" w:footer="709" w:gutter="0"/>
          <w:cols w:space="720"/>
        </w:sectPr>
      </w:pPr>
    </w:p>
    <w:p w14:paraId="2CF65BD7" w14:textId="77777777" w:rsidR="001B6C3B" w:rsidRDefault="001B6C3B" w:rsidP="001B6C3B">
      <w:pPr>
        <w:spacing w:after="0" w:line="240" w:lineRule="auto"/>
        <w:ind w:left="4962"/>
        <w:jc w:val="both"/>
        <w:rPr>
          <w:rFonts w:ascii="Times New Roman" w:hAnsi="Times New Roman" w:cs="Times New Roman"/>
          <w:b/>
          <w:sz w:val="24"/>
          <w:szCs w:val="24"/>
        </w:rPr>
      </w:pPr>
      <w:r>
        <w:rPr>
          <w:rFonts w:ascii="Times New Roman" w:hAnsi="Times New Roman" w:cs="Times New Roman"/>
          <w:b/>
          <w:sz w:val="24"/>
          <w:szCs w:val="24"/>
        </w:rPr>
        <w:lastRenderedPageBreak/>
        <w:t>УДК 347.233.14</w:t>
      </w:r>
    </w:p>
    <w:p w14:paraId="022E17CF" w14:textId="77777777" w:rsidR="001B6C3B" w:rsidRDefault="001B6C3B" w:rsidP="001B6C3B">
      <w:pPr>
        <w:spacing w:after="0" w:line="240" w:lineRule="auto"/>
        <w:ind w:left="4962"/>
        <w:jc w:val="both"/>
        <w:rPr>
          <w:rFonts w:ascii="Times New Roman" w:hAnsi="Times New Roman" w:cs="Times New Roman"/>
          <w:b/>
          <w:sz w:val="24"/>
          <w:szCs w:val="24"/>
        </w:rPr>
      </w:pPr>
      <w:r>
        <w:rPr>
          <w:rFonts w:ascii="Times New Roman" w:hAnsi="Times New Roman" w:cs="Times New Roman"/>
          <w:b/>
          <w:sz w:val="24"/>
          <w:szCs w:val="24"/>
        </w:rPr>
        <w:t>Илькун Александр Сергеевич</w:t>
      </w:r>
    </w:p>
    <w:p w14:paraId="3D54055D" w14:textId="77777777" w:rsidR="001B6C3B" w:rsidRDefault="001B6C3B" w:rsidP="001B6C3B">
      <w:pPr>
        <w:spacing w:after="0" w:line="240" w:lineRule="auto"/>
        <w:ind w:left="4962"/>
        <w:jc w:val="both"/>
        <w:rPr>
          <w:rFonts w:ascii="Times New Roman" w:hAnsi="Times New Roman" w:cs="Times New Roman"/>
          <w:b/>
          <w:sz w:val="24"/>
          <w:szCs w:val="24"/>
        </w:rPr>
      </w:pPr>
      <w:r>
        <w:rPr>
          <w:rFonts w:ascii="Times New Roman" w:hAnsi="Times New Roman" w:cs="Times New Roman"/>
          <w:b/>
          <w:sz w:val="24"/>
          <w:szCs w:val="24"/>
          <w:lang w:val="en-US"/>
        </w:rPr>
        <w:t>Ilkun</w:t>
      </w:r>
      <w:r w:rsidRPr="00430C1C">
        <w:rPr>
          <w:rFonts w:ascii="Times New Roman" w:hAnsi="Times New Roman" w:cs="Times New Roman"/>
          <w:b/>
          <w:sz w:val="24"/>
          <w:szCs w:val="24"/>
        </w:rPr>
        <w:t xml:space="preserve"> </w:t>
      </w:r>
      <w:r>
        <w:rPr>
          <w:rFonts w:ascii="Times New Roman" w:hAnsi="Times New Roman" w:cs="Times New Roman"/>
          <w:b/>
          <w:sz w:val="24"/>
          <w:szCs w:val="24"/>
          <w:lang w:val="en-US"/>
        </w:rPr>
        <w:t>Alexandr</w:t>
      </w:r>
      <w:r w:rsidRPr="00430C1C">
        <w:rPr>
          <w:rFonts w:ascii="Times New Roman" w:hAnsi="Times New Roman" w:cs="Times New Roman"/>
          <w:b/>
          <w:sz w:val="24"/>
          <w:szCs w:val="24"/>
        </w:rPr>
        <w:t xml:space="preserve"> </w:t>
      </w:r>
      <w:r>
        <w:rPr>
          <w:rFonts w:ascii="Times New Roman" w:hAnsi="Times New Roman" w:cs="Times New Roman"/>
          <w:b/>
          <w:sz w:val="24"/>
          <w:szCs w:val="24"/>
          <w:lang w:val="en-US"/>
        </w:rPr>
        <w:t>Sergeevich</w:t>
      </w:r>
    </w:p>
    <w:p w14:paraId="5B5E9E39" w14:textId="77777777" w:rsidR="001B6C3B" w:rsidRDefault="001B6C3B" w:rsidP="001B6C3B">
      <w:pPr>
        <w:spacing w:after="0" w:line="240" w:lineRule="auto"/>
        <w:ind w:left="4962"/>
        <w:jc w:val="both"/>
        <w:rPr>
          <w:rFonts w:ascii="Times New Roman" w:hAnsi="Times New Roman" w:cs="Times New Roman"/>
          <w:sz w:val="24"/>
          <w:szCs w:val="24"/>
        </w:rPr>
      </w:pPr>
      <w:r>
        <w:rPr>
          <w:rFonts w:ascii="Times New Roman" w:hAnsi="Times New Roman" w:cs="Times New Roman"/>
          <w:sz w:val="24"/>
          <w:szCs w:val="24"/>
        </w:rPr>
        <w:t>Федеральное государственное бюджетное образовательное учреждение высшего образования «Кубанский государственный аграрный университет имени И.Т. Трубилина»</w:t>
      </w:r>
    </w:p>
    <w:p w14:paraId="57E8CE97" w14:textId="77777777" w:rsidR="001B6C3B" w:rsidRDefault="001B6C3B" w:rsidP="001B6C3B">
      <w:pPr>
        <w:spacing w:after="0" w:line="240" w:lineRule="auto"/>
        <w:ind w:left="4962"/>
        <w:jc w:val="both"/>
        <w:rPr>
          <w:rFonts w:ascii="Times New Roman" w:hAnsi="Times New Roman" w:cs="Times New Roman"/>
          <w:sz w:val="24"/>
          <w:szCs w:val="24"/>
          <w:lang w:val="en-US"/>
        </w:rPr>
      </w:pPr>
      <w:r>
        <w:rPr>
          <w:rFonts w:ascii="Times New Roman" w:hAnsi="Times New Roman" w:cs="Times New Roman"/>
          <w:sz w:val="24"/>
          <w:szCs w:val="24"/>
          <w:lang w:val="en-US"/>
        </w:rPr>
        <w:t>Federal State Budgetary Educational Institution of Higher Education</w:t>
      </w:r>
    </w:p>
    <w:p w14:paraId="194A678D" w14:textId="77777777" w:rsidR="001B6C3B" w:rsidRDefault="001B6C3B" w:rsidP="001B6C3B">
      <w:pPr>
        <w:spacing w:after="0" w:line="240" w:lineRule="auto"/>
        <w:ind w:left="4962"/>
        <w:jc w:val="both"/>
        <w:rPr>
          <w:rFonts w:ascii="Times New Roman" w:hAnsi="Times New Roman" w:cs="Times New Roman"/>
          <w:sz w:val="24"/>
          <w:szCs w:val="24"/>
          <w:lang w:val="en-US"/>
        </w:rPr>
      </w:pPr>
      <w:r>
        <w:rPr>
          <w:rFonts w:ascii="Times New Roman" w:hAnsi="Times New Roman" w:cs="Times New Roman"/>
          <w:sz w:val="24"/>
          <w:szCs w:val="24"/>
          <w:lang w:val="en-US"/>
        </w:rPr>
        <w:t>“Kuban State Agrarian University named after I.T. Trubilin”</w:t>
      </w:r>
    </w:p>
    <w:p w14:paraId="567346E4" w14:textId="77777777" w:rsidR="001B6C3B" w:rsidRDefault="001B6C3B" w:rsidP="001B6C3B">
      <w:pPr>
        <w:spacing w:after="0" w:line="240" w:lineRule="auto"/>
        <w:ind w:left="4962"/>
        <w:jc w:val="both"/>
        <w:rPr>
          <w:rFonts w:ascii="Times New Roman" w:hAnsi="Times New Roman" w:cs="Times New Roman"/>
          <w:sz w:val="24"/>
          <w:szCs w:val="24"/>
        </w:rPr>
      </w:pPr>
      <w:r>
        <w:rPr>
          <w:rFonts w:ascii="Times New Roman" w:hAnsi="Times New Roman" w:cs="Times New Roman"/>
          <w:sz w:val="24"/>
          <w:szCs w:val="24"/>
        </w:rPr>
        <w:t>Российская Федерация, г. Краснодар</w:t>
      </w:r>
    </w:p>
    <w:p w14:paraId="1F737B49" w14:textId="77777777" w:rsidR="001B6C3B" w:rsidRDefault="001B6C3B" w:rsidP="001B6C3B">
      <w:pPr>
        <w:spacing w:after="0" w:line="240" w:lineRule="auto"/>
        <w:ind w:left="4962"/>
        <w:jc w:val="both"/>
        <w:rPr>
          <w:rFonts w:ascii="Times New Roman" w:hAnsi="Times New Roman" w:cs="Times New Roman"/>
          <w:sz w:val="24"/>
          <w:szCs w:val="24"/>
        </w:rPr>
      </w:pPr>
      <w:r>
        <w:rPr>
          <w:rFonts w:ascii="Times New Roman" w:hAnsi="Times New Roman" w:cs="Times New Roman"/>
          <w:sz w:val="24"/>
          <w:szCs w:val="24"/>
          <w:lang w:val="en-US"/>
        </w:rPr>
        <w:t>Russian</w:t>
      </w:r>
      <w:r w:rsidRPr="00430C1C">
        <w:rPr>
          <w:rFonts w:ascii="Times New Roman" w:hAnsi="Times New Roman" w:cs="Times New Roman"/>
          <w:sz w:val="24"/>
          <w:szCs w:val="24"/>
        </w:rPr>
        <w:t xml:space="preserve"> </w:t>
      </w:r>
      <w:r>
        <w:rPr>
          <w:rFonts w:ascii="Times New Roman" w:hAnsi="Times New Roman" w:cs="Times New Roman"/>
          <w:sz w:val="24"/>
          <w:szCs w:val="24"/>
          <w:lang w:val="en-US"/>
        </w:rPr>
        <w:t>Federation</w:t>
      </w:r>
      <w:r>
        <w:rPr>
          <w:rFonts w:ascii="Times New Roman" w:hAnsi="Times New Roman" w:cs="Times New Roman"/>
          <w:sz w:val="24"/>
          <w:szCs w:val="24"/>
        </w:rPr>
        <w:t>, Krasnodar</w:t>
      </w:r>
    </w:p>
    <w:p w14:paraId="2C4D6CEC" w14:textId="77777777" w:rsidR="001B6C3B" w:rsidRDefault="00EE7838" w:rsidP="001B6C3B">
      <w:pPr>
        <w:spacing w:after="0" w:line="240" w:lineRule="auto"/>
        <w:ind w:left="4962"/>
        <w:jc w:val="both"/>
        <w:rPr>
          <w:rFonts w:ascii="Times New Roman" w:hAnsi="Times New Roman" w:cs="Times New Roman"/>
          <w:sz w:val="24"/>
          <w:szCs w:val="24"/>
        </w:rPr>
      </w:pPr>
      <w:hyperlink r:id="rId24" w:history="1">
        <w:r w:rsidR="001B6C3B">
          <w:rPr>
            <w:rStyle w:val="a9"/>
            <w:rFonts w:ascii="Times New Roman" w:hAnsi="Times New Roman" w:cs="Times New Roman"/>
            <w:sz w:val="24"/>
            <w:szCs w:val="24"/>
            <w:lang w:val="en-US"/>
          </w:rPr>
          <w:t>alexandr</w:t>
        </w:r>
        <w:r w:rsidR="001B6C3B">
          <w:rPr>
            <w:rStyle w:val="a9"/>
            <w:rFonts w:ascii="Times New Roman" w:hAnsi="Times New Roman" w:cs="Times New Roman"/>
            <w:sz w:val="24"/>
            <w:szCs w:val="24"/>
          </w:rPr>
          <w:t>.</w:t>
        </w:r>
        <w:r w:rsidR="001B6C3B">
          <w:rPr>
            <w:rStyle w:val="a9"/>
            <w:rFonts w:ascii="Times New Roman" w:hAnsi="Times New Roman" w:cs="Times New Roman"/>
            <w:sz w:val="24"/>
            <w:szCs w:val="24"/>
            <w:lang w:val="en-US"/>
          </w:rPr>
          <w:t>ilkun</w:t>
        </w:r>
        <w:r w:rsidR="001B6C3B">
          <w:rPr>
            <w:rStyle w:val="a9"/>
            <w:rFonts w:ascii="Times New Roman" w:hAnsi="Times New Roman" w:cs="Times New Roman"/>
            <w:sz w:val="24"/>
            <w:szCs w:val="24"/>
          </w:rPr>
          <w:t>@</w:t>
        </w:r>
        <w:r w:rsidR="001B6C3B">
          <w:rPr>
            <w:rStyle w:val="a9"/>
            <w:rFonts w:ascii="Times New Roman" w:hAnsi="Times New Roman" w:cs="Times New Roman"/>
            <w:sz w:val="24"/>
            <w:szCs w:val="24"/>
            <w:lang w:val="en-US"/>
          </w:rPr>
          <w:t>yandex</w:t>
        </w:r>
        <w:r w:rsidR="001B6C3B">
          <w:rPr>
            <w:rStyle w:val="a9"/>
            <w:rFonts w:ascii="Times New Roman" w:hAnsi="Times New Roman" w:cs="Times New Roman"/>
            <w:sz w:val="24"/>
            <w:szCs w:val="24"/>
          </w:rPr>
          <w:t>.</w:t>
        </w:r>
        <w:r w:rsidR="001B6C3B">
          <w:rPr>
            <w:rStyle w:val="a9"/>
            <w:rFonts w:ascii="Times New Roman" w:hAnsi="Times New Roman" w:cs="Times New Roman"/>
            <w:sz w:val="24"/>
            <w:szCs w:val="24"/>
            <w:lang w:val="en-US"/>
          </w:rPr>
          <w:t>ru</w:t>
        </w:r>
      </w:hyperlink>
    </w:p>
    <w:p w14:paraId="31586590" w14:textId="77777777" w:rsidR="001B6C3B" w:rsidRDefault="001B6C3B" w:rsidP="001B6C3B">
      <w:pPr>
        <w:spacing w:after="0" w:line="240" w:lineRule="auto"/>
        <w:ind w:left="4962"/>
        <w:jc w:val="both"/>
        <w:rPr>
          <w:rFonts w:ascii="Times New Roman" w:hAnsi="Times New Roman" w:cs="Times New Roman"/>
          <w:sz w:val="24"/>
          <w:szCs w:val="24"/>
        </w:rPr>
      </w:pPr>
      <w:r>
        <w:rPr>
          <w:rFonts w:ascii="Times New Roman" w:hAnsi="Times New Roman" w:cs="Times New Roman"/>
          <w:sz w:val="24"/>
          <w:szCs w:val="24"/>
        </w:rPr>
        <w:t>Камышанский В.П.</w:t>
      </w:r>
    </w:p>
    <w:p w14:paraId="273D1843" w14:textId="77777777" w:rsidR="001B6C3B" w:rsidRDefault="001B6C3B" w:rsidP="001B6C3B">
      <w:pPr>
        <w:spacing w:after="0" w:line="240" w:lineRule="auto"/>
        <w:ind w:left="4962"/>
        <w:jc w:val="both"/>
        <w:rPr>
          <w:rFonts w:ascii="Times New Roman" w:hAnsi="Times New Roman" w:cs="Times New Roman"/>
          <w:sz w:val="24"/>
          <w:szCs w:val="24"/>
        </w:rPr>
      </w:pPr>
      <w:r>
        <w:rPr>
          <w:rFonts w:ascii="Times New Roman" w:hAnsi="Times New Roman" w:cs="Times New Roman"/>
          <w:sz w:val="24"/>
          <w:szCs w:val="24"/>
        </w:rPr>
        <w:t>д.ю.н., профессор кафедры гражданского права</w:t>
      </w:r>
    </w:p>
    <w:p w14:paraId="6DD878BC" w14:textId="77777777" w:rsidR="001B6C3B" w:rsidRDefault="001B6C3B" w:rsidP="001B6C3B">
      <w:pPr>
        <w:spacing w:after="0" w:line="240" w:lineRule="auto"/>
        <w:ind w:firstLine="709"/>
        <w:jc w:val="both"/>
        <w:rPr>
          <w:rFonts w:ascii="Times New Roman" w:hAnsi="Times New Roman" w:cs="Times New Roman"/>
          <w:sz w:val="24"/>
          <w:szCs w:val="24"/>
        </w:rPr>
      </w:pPr>
    </w:p>
    <w:p w14:paraId="249CBF8E" w14:textId="77777777" w:rsidR="001B6C3B" w:rsidRDefault="001B6C3B" w:rsidP="001B6C3B">
      <w:pPr>
        <w:spacing w:after="0" w:line="240" w:lineRule="auto"/>
        <w:ind w:firstLine="709"/>
        <w:jc w:val="center"/>
        <w:rPr>
          <w:rFonts w:ascii="Times New Roman" w:hAnsi="Times New Roman" w:cs="Times New Roman"/>
          <w:b/>
          <w:sz w:val="24"/>
          <w:szCs w:val="24"/>
        </w:rPr>
      </w:pPr>
      <w:r>
        <w:rPr>
          <w:rFonts w:ascii="Times New Roman" w:hAnsi="Times New Roman" w:cs="Times New Roman"/>
          <w:b/>
          <w:sz w:val="24"/>
          <w:szCs w:val="24"/>
        </w:rPr>
        <w:t>ИСКИ ОБ ИСТРЕБОВАНИИ ИМУЩЕСТВА ИЗ ЧУЖОГО НЕЗАКОННОГО ВЛАДЕНИЯ</w:t>
      </w:r>
    </w:p>
    <w:p w14:paraId="2C6D7CC9" w14:textId="77777777" w:rsidR="001B6C3B" w:rsidRDefault="001B6C3B" w:rsidP="001B6C3B">
      <w:pPr>
        <w:spacing w:after="0" w:line="240" w:lineRule="auto"/>
        <w:ind w:firstLine="709"/>
        <w:jc w:val="center"/>
        <w:rPr>
          <w:rFonts w:ascii="Times New Roman" w:hAnsi="Times New Roman" w:cs="Times New Roman"/>
          <w:b/>
          <w:sz w:val="24"/>
          <w:szCs w:val="24"/>
          <w:lang w:val="en-US"/>
        </w:rPr>
      </w:pPr>
      <w:r>
        <w:rPr>
          <w:rFonts w:ascii="Times New Roman" w:hAnsi="Times New Roman" w:cs="Times New Roman"/>
          <w:b/>
          <w:sz w:val="24"/>
          <w:szCs w:val="24"/>
          <w:lang w:val="en-US"/>
        </w:rPr>
        <w:t>CLAIMS FOR THE RECOVERY OF PROPERTY FROM ANOTHER`S ILLEGAL POSSESSION</w:t>
      </w:r>
    </w:p>
    <w:p w14:paraId="7F58E875" w14:textId="77777777" w:rsidR="001B6C3B" w:rsidRDefault="001B6C3B" w:rsidP="001B6C3B">
      <w:pPr>
        <w:spacing w:after="0" w:line="240" w:lineRule="auto"/>
        <w:ind w:firstLine="709"/>
        <w:jc w:val="both"/>
        <w:rPr>
          <w:rFonts w:ascii="Times New Roman" w:hAnsi="Times New Roman" w:cs="Times New Roman"/>
          <w:b/>
          <w:sz w:val="24"/>
          <w:szCs w:val="24"/>
          <w:lang w:val="en-US"/>
        </w:rPr>
      </w:pPr>
    </w:p>
    <w:p w14:paraId="10DACE9D"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Аннотация: статья посвящена искам об истребовании имущества из чужого незаконного владения, что является довольно актуальной темой в данный момент. Анализируется гражданское законодательство, научные подходы к рассмотрению данного вопроса, существующая судебная практика, формируются некоторые тезисы для общего понимания. В заключении исследования автором формируются соответствующие выводы по поводу регулирования рассматриваемых правоотношений в действующем гражданском законодательстве с целью более ясного понимания положения виндикационных исков.</w:t>
      </w:r>
    </w:p>
    <w:p w14:paraId="3535051F" w14:textId="77777777" w:rsidR="001B6C3B" w:rsidRDefault="001B6C3B" w:rsidP="001B6C3B">
      <w:pPr>
        <w:spacing w:after="0" w:line="240" w:lineRule="auto"/>
        <w:ind w:firstLine="709"/>
        <w:jc w:val="both"/>
        <w:rPr>
          <w:rFonts w:ascii="Times New Roman" w:hAnsi="Times New Roman" w:cs="Times New Roman"/>
          <w:sz w:val="24"/>
          <w:szCs w:val="24"/>
          <w:lang w:val="en-US"/>
        </w:rPr>
      </w:pPr>
      <w:r>
        <w:rPr>
          <w:rFonts w:ascii="Times New Roman" w:hAnsi="Times New Roman" w:cs="Times New Roman"/>
          <w:sz w:val="24"/>
          <w:szCs w:val="24"/>
          <w:lang w:val="en-US"/>
        </w:rPr>
        <w:t>Abstract: the article is devoted to claims for the recovery of property from another's illegal possession, which is a rather relevant topic at the moment. Civil legislation, scientific approaches to the consideration of this issue, existing judicial practice are analyzed, some abstracts are formed for a common understanding. In the conclusion of the study, the author draws the appropriate conclusions regarding the regulation of the legal relations under consideration in the current civil law with the aim of a clearer understanding of the situation of the lawsuits.</w:t>
      </w:r>
    </w:p>
    <w:p w14:paraId="4E1256EB"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Ключевые слова: защита права собственности, виндикационный иск, собственник, фактический владелец, незаконное владение, добросовестный приобретатель, презумпция добросовестности, индивидуально-определенное имущество, срок исковой давности, выбытие из владения.</w:t>
      </w:r>
    </w:p>
    <w:p w14:paraId="309D5B5A" w14:textId="77777777" w:rsidR="001B6C3B" w:rsidRDefault="001B6C3B" w:rsidP="001B6C3B">
      <w:pPr>
        <w:spacing w:after="0" w:line="240" w:lineRule="auto"/>
        <w:ind w:firstLine="709"/>
        <w:jc w:val="both"/>
        <w:rPr>
          <w:rFonts w:ascii="Times New Roman" w:hAnsi="Times New Roman" w:cs="Times New Roman"/>
          <w:sz w:val="24"/>
          <w:szCs w:val="24"/>
          <w:lang w:val="en-US"/>
        </w:rPr>
      </w:pPr>
      <w:r>
        <w:rPr>
          <w:rFonts w:ascii="Times New Roman" w:hAnsi="Times New Roman" w:cs="Times New Roman"/>
          <w:sz w:val="24"/>
          <w:szCs w:val="24"/>
        </w:rPr>
        <w:t xml:space="preserve"> </w:t>
      </w:r>
      <w:r>
        <w:rPr>
          <w:rFonts w:ascii="Times New Roman" w:hAnsi="Times New Roman" w:cs="Times New Roman"/>
          <w:sz w:val="24"/>
          <w:szCs w:val="24"/>
          <w:lang w:val="en-US"/>
        </w:rPr>
        <w:t>Keywords: protection of property rights, vindication lawsuit, owner, actual owner, illegal possession, bona fide purchaser, presumption of good faith, individually defined property, limitation period, retirement.</w:t>
      </w:r>
    </w:p>
    <w:p w14:paraId="1FC64757" w14:textId="77777777" w:rsidR="001B6C3B" w:rsidRDefault="001B6C3B" w:rsidP="001B6C3B">
      <w:pPr>
        <w:spacing w:after="0" w:line="240" w:lineRule="auto"/>
        <w:ind w:firstLine="709"/>
        <w:jc w:val="both"/>
        <w:rPr>
          <w:rFonts w:ascii="Times New Roman" w:hAnsi="Times New Roman" w:cs="Times New Roman"/>
          <w:sz w:val="24"/>
          <w:szCs w:val="24"/>
          <w:lang w:val="en-US"/>
        </w:rPr>
      </w:pPr>
    </w:p>
    <w:p w14:paraId="14AB9E90"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Гражданско-правовое законодательство определяет иски об истребовании из чужого незаконного владения как виндикационные иски. Данный иск является одним из вещно-правовых способов защиты права собственности. Что касается определения, под виндикацией понимают заявление, содержащее в себе непосредственно внедоговорное требование собственника, который не обладает вещью, к несобственнику, который фактически владеет ей без законных оснований, вернуть в натуре указанную вещь. Такая возможность закреплена в </w:t>
      </w:r>
      <w:r>
        <w:rPr>
          <w:rFonts w:ascii="Times New Roman" w:hAnsi="Times New Roman" w:cs="Times New Roman"/>
          <w:sz w:val="24"/>
          <w:szCs w:val="24"/>
        </w:rPr>
        <w:lastRenderedPageBreak/>
        <w:t>ст. 301 Гражданского кодекса Российской Федерации (далее по тексту – ГК РФ)</w:t>
      </w:r>
      <w:r>
        <w:rPr>
          <w:rStyle w:val="a7"/>
          <w:rFonts w:ascii="Times New Roman" w:hAnsi="Times New Roman" w:cs="Times New Roman"/>
          <w:sz w:val="24"/>
          <w:szCs w:val="24"/>
        </w:rPr>
        <w:footnoteReference w:id="174"/>
      </w:r>
      <w:r>
        <w:rPr>
          <w:rFonts w:ascii="Times New Roman" w:hAnsi="Times New Roman" w:cs="Times New Roman"/>
          <w:sz w:val="24"/>
          <w:szCs w:val="24"/>
        </w:rPr>
        <w:t>. Здесь необходимо отметить, что бремя доказывания того факта, что имущество находится в незаконном владении лежит на лице, выступающем в роли истца.</w:t>
      </w:r>
    </w:p>
    <w:p w14:paraId="16EEB881"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Закон предусматривает ряд условий, при которых может быть подан виндикационный иск, при чем необходимо их одновременное наличие. Рассмотрим их подробнее.</w:t>
      </w:r>
    </w:p>
    <w:p w14:paraId="5F28FD8F"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Прежде всего, необходимо, чтобы собственник имущества, выбывшего из его владения, был отстранен от фактического господства над вещью в результате хищения, утраты либо безвозмездного приобретения вещи у субъекта, не имевшего законного права отчуждения. Если имущество не выбыло из владения, но данное право оспаривается или имеют место какие-либо действия, направленные на препятствование владению имуществом, то в таком случае подлежат применению иные способы защиты права собственности.</w:t>
      </w:r>
    </w:p>
    <w:p w14:paraId="429448D7"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Следующим условием является то, что предметом рассматриваемого нами иска может являться имущество, представляющее собой индивидуально-определенную вещь, которая во время предъявления иска сохранилось в натуре. Следует отметить, что вещь, которая хоть и определяется родовыми признаками, но индивидуализирована истцом, тоже может являться предметом виндикационного иска. По этому поводу Е.А. Суханов считает, что как раз возможность индивидуально определить вещь является основным критерием возможности виндикации</w:t>
      </w:r>
      <w:r>
        <w:rPr>
          <w:rStyle w:val="a7"/>
          <w:rFonts w:ascii="Times New Roman" w:hAnsi="Times New Roman" w:cs="Times New Roman"/>
          <w:sz w:val="24"/>
          <w:szCs w:val="24"/>
        </w:rPr>
        <w:footnoteReference w:id="175"/>
      </w:r>
      <w:r>
        <w:rPr>
          <w:rFonts w:ascii="Times New Roman" w:hAnsi="Times New Roman" w:cs="Times New Roman"/>
          <w:sz w:val="24"/>
          <w:szCs w:val="24"/>
        </w:rPr>
        <w:t>. Если же имущество к моменту предъявления искового требования не сохранилось в натуре, то есть подверглось потреблению или уничтожению, то право собственности на него прекращается, и, соответственно, для восстановления нарушенного права необходимо использование иных средств защиты.</w:t>
      </w:r>
    </w:p>
    <w:p w14:paraId="4DBB3D8A"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И третье необходимое условие представляет собой нахождение виндицируемого имущества именно в незаконном владении. Это означает, что фактический обладатель вещи не имеет на то никаких правовых оснований, как правило, вследствие хищения такого имущества или присвоения найденной вещи, если подошла к концу аренда либо сделка, по которой было приобретено имущество, является недействительной.</w:t>
      </w:r>
    </w:p>
    <w:p w14:paraId="2334C461"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Что касается основания рассматриваемого нами иска, то им выступает непосредственно требование собственника или иного титульного владельца о том, что выбывшее против воли из его собственности имущество должно быть возвращено. Основание же представляет собой комплекс тех юридических фактов, которые послужили причиной подачи иска, в целом они завязаны на условиях, описанных выше.</w:t>
      </w:r>
    </w:p>
    <w:p w14:paraId="3A5E90A2"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Одним из особенных факторов, влияющих на удовлетворение виндикационного иска, является добросовестность лица, которое приобрело вещь при тех или иных обстоятельствах. Так, добросовестным приобретателем является непосредственно лицо, которое при приобретении имущества не знало и не могло знать о том факте, что приобретает вещь незаконно, например, если в результате хищения вещь попала в магазин, где ее и купил фактический владелец. Согласно части 3 ст. 302 ГК РФ от такого приобретателя деньги и ценные бумаги на предъявителя возвращены быть не могут. Следует отметить, что ч. 5 ст. 10 ГК РФ предполагает презумпцию добросовестности субъектов гражданского оборота, следовательно, истцу при необходимости нужно будет доказать обратное. Итак, что же меняется, если приобретатель является добросовестным? Далее дело зависит от того, как именно была приобретена вещь – возмездно или безвозмездно, что отмечает в своем труде В.П. Камышанский</w:t>
      </w:r>
      <w:r>
        <w:rPr>
          <w:rStyle w:val="a7"/>
          <w:rFonts w:ascii="Times New Roman" w:hAnsi="Times New Roman" w:cs="Times New Roman"/>
          <w:sz w:val="24"/>
          <w:szCs w:val="24"/>
        </w:rPr>
        <w:footnoteReference w:id="176"/>
      </w:r>
      <w:r>
        <w:rPr>
          <w:rFonts w:ascii="Times New Roman" w:hAnsi="Times New Roman" w:cs="Times New Roman"/>
          <w:sz w:val="24"/>
          <w:szCs w:val="24"/>
        </w:rPr>
        <w:t xml:space="preserve">. В случае, если имело место безвозмездное приобретение, то на основании ч. 2 ст. ст. 302 ГК РФ иных препятствий в данном аспекте к возвращению имущества нет. Если же добросовестный приобретатель приобрел имущество на возмездной основе, то собственник имеет право возвратить вещь в случае, если она выбыла из его владения не по его воле. Напротив, при изначальном отчуждении по воле законного владельца, </w:t>
      </w:r>
      <w:r>
        <w:rPr>
          <w:rFonts w:ascii="Times New Roman" w:hAnsi="Times New Roman" w:cs="Times New Roman"/>
          <w:sz w:val="24"/>
          <w:szCs w:val="24"/>
        </w:rPr>
        <w:lastRenderedPageBreak/>
        <w:t>например, при сдаче вещи в аренду, которая позже была отчуждена без законных оснований в пользу добросовестного владельца, то в таком случае истец имеет право только на возмещение причиненных ему убытков.</w:t>
      </w:r>
      <w:r>
        <w:rPr>
          <w:rStyle w:val="a7"/>
          <w:rFonts w:ascii="Times New Roman" w:hAnsi="Times New Roman" w:cs="Times New Roman"/>
          <w:sz w:val="24"/>
          <w:szCs w:val="24"/>
        </w:rPr>
        <w:footnoteReference w:id="177"/>
      </w:r>
    </w:p>
    <w:p w14:paraId="58DF770F"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Определение добросовестности приобретателя является одним из проблемных аспектов виндикации, поскольку на практике такое оценочное суждение может трактоваться судами неоднозначно. Так, определением Омского областного суда лицо было признано недобросовестным приобретателем по двум спорным, по нашему мнению, причинам</w:t>
      </w:r>
      <w:r>
        <w:rPr>
          <w:rStyle w:val="a7"/>
          <w:rFonts w:ascii="Times New Roman" w:hAnsi="Times New Roman" w:cs="Times New Roman"/>
          <w:sz w:val="24"/>
          <w:szCs w:val="24"/>
        </w:rPr>
        <w:footnoteReference w:id="178"/>
      </w:r>
      <w:r>
        <w:rPr>
          <w:rFonts w:ascii="Times New Roman" w:hAnsi="Times New Roman" w:cs="Times New Roman"/>
          <w:sz w:val="24"/>
          <w:szCs w:val="24"/>
        </w:rPr>
        <w:t>. Во-первых, посчитал суд, приобретатель не удостоверился, соблюден ли порядок приобретения продавцом у другого юридического лица спорного имущества, а во-вторых, данный автомобиль покупатель приобрел по стоимости ниже рыночной. На основании этих фактов, а также того, что продавец на момент продажи владел имуществом недолгое время, суд вынес указанное выше решение. Однако гражданин не мог знать о споре между участвующими в деле юридическими лицами и не обязан проверять подобную информацию. Что касается времени владения продавцом спорным автомобилем, считаем, что подобный юридический факт не может являться причиной для сомнений в законности отчуждения. Цена же имущества может быть занижена по различным основаниям, зачастую того требуют различные жизненные обстоятельства, выходит, что приобретателю стоит сомневаться в законности сделки в связи с каждым снижением стоимости вещей? Полагаем, что нет.</w:t>
      </w:r>
    </w:p>
    <w:p w14:paraId="0FE75CFC"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Довольно спорным в рассматриваемой нами области является и вопрос о сроках исковой давности по виндикации, в том числе потому, что при расчете такового образуется проблема в непосредственно определении момента, с которого стоит начинать отсчет. В настоящий момент законодательство Российской Федерации не содержит положений о специальных сроках давности по поводу виндикационных исков, поэтому суды по общему правилу определяют, что такой срок равен трем годам. Также на данные иски распространяются общие положения о предельном сроке давности, который не может составлять более десяти лет с того момента, когда было совершено правонарушение. </w:t>
      </w:r>
    </w:p>
    <w:p w14:paraId="39E6DD8E"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Что касается проблемы начала исчисления, то трудности здесь также возникают в связи с тем, что собственник может знать, что имущество выбыло из его владения, но при этом место ее нахождения и непосредственно личность ответчика неизвестны, а тем временем срок идет и, как известно, является довольно самостоятельной причиной для отказа судом в иске. Начало исчисления зависит от того, является выбывшее из владения собственника имущество движимым или недвижимым. В первом случае течение срока исковой давности начинается с того момента, когда собственник узнал о том, что вещь находится во владении ответчика. Из этого исходят как суды общей юрисдикции, в том числе Пермский краевой суд</w:t>
      </w:r>
      <w:r>
        <w:rPr>
          <w:rStyle w:val="a7"/>
          <w:rFonts w:ascii="Times New Roman" w:hAnsi="Times New Roman" w:cs="Times New Roman"/>
          <w:sz w:val="24"/>
          <w:szCs w:val="24"/>
        </w:rPr>
        <w:footnoteReference w:id="179"/>
      </w:r>
      <w:r>
        <w:rPr>
          <w:rFonts w:ascii="Times New Roman" w:hAnsi="Times New Roman" w:cs="Times New Roman"/>
          <w:sz w:val="24"/>
          <w:szCs w:val="24"/>
        </w:rPr>
        <w:t>, так и арбитражные суды</w:t>
      </w:r>
      <w:r>
        <w:rPr>
          <w:rStyle w:val="a7"/>
          <w:rFonts w:ascii="Times New Roman" w:hAnsi="Times New Roman" w:cs="Times New Roman"/>
          <w:sz w:val="24"/>
          <w:szCs w:val="24"/>
        </w:rPr>
        <w:footnoteReference w:id="180"/>
      </w:r>
      <w:r>
        <w:rPr>
          <w:rFonts w:ascii="Times New Roman" w:hAnsi="Times New Roman" w:cs="Times New Roman"/>
          <w:sz w:val="24"/>
          <w:szCs w:val="24"/>
        </w:rPr>
        <w:t>, при этом подчеркивая, что отсчет происходит с момента, когда собственник установил личность ответчика, а не просто нашел имущество, пытаясь устранить описанную выше проблему, но только в отношении движимого имущества. В случае же с недвижимым имуществом срок исковой давности начинает течь с момента, когда истец узнал или должен был узнать, что его имущество отчуждено против его воли, что подтверждает п. 1 ст. 200 ГК РФ. Данным моментом в отношении недвижимого имущества является государственная регистрация права на такое имущество, что подтверждается судебной практикой, в том числе п. 52 постановления ВС РФ, ВАС РФ</w:t>
      </w:r>
      <w:r>
        <w:rPr>
          <w:rStyle w:val="a7"/>
          <w:rFonts w:ascii="Times New Roman" w:hAnsi="Times New Roman" w:cs="Times New Roman"/>
          <w:sz w:val="24"/>
          <w:szCs w:val="24"/>
        </w:rPr>
        <w:footnoteReference w:id="181"/>
      </w:r>
      <w:r>
        <w:rPr>
          <w:rFonts w:ascii="Times New Roman" w:hAnsi="Times New Roman" w:cs="Times New Roman"/>
          <w:sz w:val="24"/>
          <w:szCs w:val="24"/>
        </w:rPr>
        <w:t>.</w:t>
      </w:r>
    </w:p>
    <w:p w14:paraId="68CE584A"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Следует согласиться с мнением о том, что также актуальным и требующим уточнения является вопрос о подсудности виндикационных исков</w:t>
      </w:r>
      <w:r>
        <w:rPr>
          <w:rStyle w:val="a7"/>
          <w:rFonts w:ascii="Times New Roman" w:hAnsi="Times New Roman" w:cs="Times New Roman"/>
          <w:sz w:val="24"/>
          <w:szCs w:val="24"/>
        </w:rPr>
        <w:footnoteReference w:id="182"/>
      </w:r>
      <w:r>
        <w:rPr>
          <w:rFonts w:ascii="Times New Roman" w:hAnsi="Times New Roman" w:cs="Times New Roman"/>
          <w:sz w:val="24"/>
          <w:szCs w:val="24"/>
        </w:rPr>
        <w:t>. Согласно действующему законодательству Российской Федерации, защиту собственника в порядке виндикации осуществляют непосредственно суды общей юрисдикции, арбитражные суды, а также третейские суды в рамках своей компетенции. Разрешение дела об истребовании имущества из чужого незаконного владения будет проводиться по месту жительства ответчика или по месту нахождения организации-ответчика.</w:t>
      </w:r>
    </w:p>
    <w:p w14:paraId="4F1E0891"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Также хотелось бы коснуться такого аспекта в исследуемой области, как расчеты при возврате имущества из незаконного владения. Согласно ст. 303 ГК РФ собственник, который докажет, что его имущество находилось в незаконном пользовании ответчика, получает возможность требования компенсации в размере того дохода, который за время выбытия имущества извлек незаконно владеющий несобственник. Однако если в течение данного срока незаконным владельцем были произведены некоторые улучшения спорной вещи, то затраченные денежные средства вычитаются из общей суммы компенсации. Разумеется, спорное имущество требует затрат на содержание. В соответствии с гражданским законодательством такие траты компенсируются той полученной выгодой от владения вещью. </w:t>
      </w:r>
    </w:p>
    <w:p w14:paraId="4E3B7BEA"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Что касается затрат на модернизацию имущества, на практике подобные расходы компенсируются в том случае, если они были произведены в целях нормального функционирования и сохранения такого имущества. Если же целью модернизации являлось придание роскоши, то такие траты компенсироваться, конечно, не будут, потому что незаконный владелец не имеет прав на имущество, являющееся объектом виндикации.</w:t>
      </w:r>
    </w:p>
    <w:p w14:paraId="5B0DA6A9"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заключение хотелось бы прежде всего согласиться с мнением Новоселовой А.А. и Подшивалова Т.П. о том, что правовая природа и сущность, отношения в сфере виндикации вызывают неподдельный интерес как с точки зрения теории, так и практики</w:t>
      </w:r>
      <w:r>
        <w:rPr>
          <w:rStyle w:val="a7"/>
          <w:rFonts w:ascii="Times New Roman" w:hAnsi="Times New Roman" w:cs="Times New Roman"/>
          <w:sz w:val="24"/>
          <w:szCs w:val="24"/>
        </w:rPr>
        <w:footnoteReference w:id="183"/>
      </w:r>
      <w:r>
        <w:rPr>
          <w:rFonts w:ascii="Times New Roman" w:hAnsi="Times New Roman" w:cs="Times New Roman"/>
          <w:sz w:val="24"/>
          <w:szCs w:val="24"/>
        </w:rPr>
        <w:t>. Иски об истребовании имущества из чужого незаконного владения представляют собой один из самых непростых способов защиты права собственности, что обусловлено его спецификой, условиями подачи и удовлетворения, и преследуют цель непосредственно по восстановлению нарушенной триады правомочий собственника и возвращения его законного имущества. Несомненно, существуют некоторые проблемы, в том числе и с определением статуса ответчика, а также течения сроков давности, но данный институт совершенствуется и определенно занимает важное место в современных гражданско-правовых отношениях.</w:t>
      </w:r>
    </w:p>
    <w:p w14:paraId="35BF7564"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Библиографический список</w:t>
      </w:r>
    </w:p>
    <w:p w14:paraId="0D07488F"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1. Гражданское право. В 2 ч.  / Под ред. Камышанского В.П., Коршунова Н.М., Иванова В.И. // М.: 2012. — Ч.1 - 543с.</w:t>
      </w:r>
    </w:p>
    <w:p w14:paraId="6B775782"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 Гражданское право: учебник: в 2 т. / отв. ред. проф. Е.А. Суханов. 2-е изд., перераб. и доп. М., 1998. Т. 1.</w:t>
      </w:r>
    </w:p>
    <w:p w14:paraId="5C6513F4"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 Зубарева, О. Г. Владение и его конструкции в гражданском законодательстве Российской Федерации: Дис. ... канд. юрид. наук. — Ростов-на-Дону, 2003. — 158 с.</w:t>
      </w:r>
    </w:p>
    <w:p w14:paraId="2CBB700D"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4. Новоселова А. А., Подшивалов Т. П. Виндикационный иск: проблемы элементного состава // Вестник ЮУрГУ. Серия: Право. 2008. №8 (108). URL: https://cyberleninka.ru/article/n/vindikatsionnyy-isk-problemy-elementnogo-sostava (дата обращения: 11.05.2020).</w:t>
      </w:r>
    </w:p>
    <w:p w14:paraId="2DC67898"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5. Шигонина Л.А., Бабаян К.В., Скорицкая О.Д. Особенности содержания и применения виндикационного иска // Таврический научный обозреватель. 2017. №5 (22). URL: https://cyberleninka.ru/article/n/osobennosti-soderzhaniya-i-primeneniya-vindikatsionnogo-iska (дата обращения: 13.05.2020).</w:t>
      </w:r>
    </w:p>
    <w:p w14:paraId="320D18D7" w14:textId="77777777" w:rsidR="001B6C3B" w:rsidRDefault="001B6C3B" w:rsidP="001B6C3B">
      <w:pPr>
        <w:spacing w:after="0" w:line="240" w:lineRule="auto"/>
        <w:rPr>
          <w:rFonts w:ascii="Times New Roman" w:hAnsi="Times New Roman" w:cs="Times New Roman"/>
          <w:sz w:val="24"/>
          <w:szCs w:val="24"/>
        </w:rPr>
        <w:sectPr w:rsidR="001B6C3B">
          <w:footnotePr>
            <w:numRestart w:val="eachPage"/>
          </w:footnotePr>
          <w:pgSz w:w="11906" w:h="16838"/>
          <w:pgMar w:top="1134" w:right="1134" w:bottom="1134" w:left="1134" w:header="709" w:footer="709" w:gutter="0"/>
          <w:cols w:space="720"/>
        </w:sectPr>
      </w:pPr>
    </w:p>
    <w:p w14:paraId="3B7EBDBB" w14:textId="77777777" w:rsidR="001B6C3B" w:rsidRDefault="001B6C3B" w:rsidP="001B6C3B">
      <w:pPr>
        <w:spacing w:after="0" w:line="240" w:lineRule="auto"/>
        <w:ind w:left="4678"/>
        <w:rPr>
          <w:rFonts w:ascii="Times New Roman" w:hAnsi="Times New Roman" w:cs="Times New Roman"/>
          <w:b/>
          <w:sz w:val="24"/>
          <w:szCs w:val="24"/>
        </w:rPr>
      </w:pPr>
      <w:r>
        <w:rPr>
          <w:rFonts w:ascii="Times New Roman" w:hAnsi="Times New Roman" w:cs="Times New Roman"/>
          <w:b/>
          <w:sz w:val="24"/>
          <w:szCs w:val="24"/>
        </w:rPr>
        <w:lastRenderedPageBreak/>
        <w:t>УДК 347.1</w:t>
      </w:r>
    </w:p>
    <w:p w14:paraId="08418FAB" w14:textId="77777777" w:rsidR="001B6C3B" w:rsidRDefault="001B6C3B" w:rsidP="001B6C3B">
      <w:pPr>
        <w:spacing w:after="0" w:line="240" w:lineRule="auto"/>
        <w:ind w:left="4678"/>
        <w:rPr>
          <w:rFonts w:ascii="Times New Roman" w:hAnsi="Times New Roman" w:cs="Times New Roman"/>
          <w:b/>
          <w:sz w:val="24"/>
          <w:szCs w:val="24"/>
        </w:rPr>
      </w:pPr>
      <w:r>
        <w:rPr>
          <w:rFonts w:ascii="Times New Roman" w:hAnsi="Times New Roman" w:cs="Times New Roman"/>
          <w:b/>
          <w:sz w:val="24"/>
          <w:szCs w:val="24"/>
        </w:rPr>
        <w:t>Каспарян Альберт Арутович</w:t>
      </w:r>
    </w:p>
    <w:p w14:paraId="563159B4" w14:textId="77777777" w:rsidR="001B6C3B" w:rsidRDefault="001B6C3B" w:rsidP="001B6C3B">
      <w:pPr>
        <w:spacing w:after="0" w:line="240" w:lineRule="auto"/>
        <w:ind w:left="4678"/>
        <w:rPr>
          <w:rFonts w:ascii="Times New Roman" w:hAnsi="Times New Roman" w:cs="Times New Roman"/>
          <w:b/>
          <w:sz w:val="24"/>
          <w:szCs w:val="24"/>
        </w:rPr>
      </w:pPr>
      <w:r>
        <w:rPr>
          <w:rFonts w:ascii="Times New Roman" w:hAnsi="Times New Roman" w:cs="Times New Roman"/>
          <w:b/>
          <w:sz w:val="24"/>
          <w:szCs w:val="24"/>
          <w:lang w:val="en-US"/>
        </w:rPr>
        <w:t>Kasparyan</w:t>
      </w:r>
      <w:r w:rsidRPr="00430C1C">
        <w:rPr>
          <w:rFonts w:ascii="Times New Roman" w:hAnsi="Times New Roman" w:cs="Times New Roman"/>
          <w:b/>
          <w:sz w:val="24"/>
          <w:szCs w:val="24"/>
        </w:rPr>
        <w:t xml:space="preserve"> </w:t>
      </w:r>
      <w:r>
        <w:rPr>
          <w:rFonts w:ascii="Times New Roman" w:hAnsi="Times New Roman" w:cs="Times New Roman"/>
          <w:b/>
          <w:sz w:val="24"/>
          <w:szCs w:val="24"/>
          <w:lang w:val="en-US"/>
        </w:rPr>
        <w:t>Albert</w:t>
      </w:r>
      <w:r w:rsidRPr="00430C1C">
        <w:rPr>
          <w:rFonts w:ascii="Times New Roman" w:hAnsi="Times New Roman" w:cs="Times New Roman"/>
          <w:b/>
          <w:sz w:val="24"/>
          <w:szCs w:val="24"/>
        </w:rPr>
        <w:t xml:space="preserve"> </w:t>
      </w:r>
      <w:r>
        <w:rPr>
          <w:rFonts w:ascii="Times New Roman" w:hAnsi="Times New Roman" w:cs="Times New Roman"/>
          <w:b/>
          <w:sz w:val="24"/>
          <w:szCs w:val="24"/>
          <w:lang w:val="en-US"/>
        </w:rPr>
        <w:t>Arutovich</w:t>
      </w:r>
    </w:p>
    <w:p w14:paraId="3E4B2C47" w14:textId="77777777" w:rsidR="001B6C3B" w:rsidRDefault="001B6C3B" w:rsidP="001B6C3B">
      <w:pPr>
        <w:spacing w:after="0" w:line="240" w:lineRule="auto"/>
        <w:ind w:left="4678"/>
        <w:rPr>
          <w:rFonts w:ascii="Times New Roman" w:hAnsi="Times New Roman" w:cs="Times New Roman"/>
          <w:sz w:val="24"/>
          <w:szCs w:val="24"/>
        </w:rPr>
      </w:pPr>
      <w:r>
        <w:rPr>
          <w:rFonts w:ascii="Times New Roman" w:hAnsi="Times New Roman" w:cs="Times New Roman"/>
          <w:sz w:val="24"/>
          <w:szCs w:val="24"/>
        </w:rPr>
        <w:t>Бакалавр Федеральное государственное бюджетное образовательное учреждение</w:t>
      </w:r>
    </w:p>
    <w:p w14:paraId="64EE6A1F" w14:textId="77777777" w:rsidR="001B6C3B" w:rsidRDefault="001B6C3B" w:rsidP="001B6C3B">
      <w:pPr>
        <w:spacing w:after="0" w:line="240" w:lineRule="auto"/>
        <w:ind w:left="4678"/>
        <w:rPr>
          <w:rFonts w:ascii="Times New Roman" w:hAnsi="Times New Roman" w:cs="Times New Roman"/>
          <w:sz w:val="24"/>
          <w:szCs w:val="24"/>
        </w:rPr>
      </w:pPr>
      <w:r>
        <w:rPr>
          <w:rFonts w:ascii="Times New Roman" w:hAnsi="Times New Roman" w:cs="Times New Roman"/>
          <w:sz w:val="24"/>
          <w:szCs w:val="24"/>
        </w:rPr>
        <w:t>высшего образования</w:t>
      </w:r>
    </w:p>
    <w:p w14:paraId="296A084C" w14:textId="77777777" w:rsidR="001B6C3B" w:rsidRDefault="001B6C3B" w:rsidP="001B6C3B">
      <w:pPr>
        <w:spacing w:after="0" w:line="240" w:lineRule="auto"/>
        <w:ind w:left="4678"/>
        <w:rPr>
          <w:rFonts w:ascii="Times New Roman" w:hAnsi="Times New Roman" w:cs="Times New Roman"/>
          <w:sz w:val="24"/>
          <w:szCs w:val="24"/>
        </w:rPr>
      </w:pPr>
      <w:r>
        <w:rPr>
          <w:rFonts w:ascii="Times New Roman" w:hAnsi="Times New Roman" w:cs="Times New Roman"/>
          <w:sz w:val="24"/>
          <w:szCs w:val="24"/>
        </w:rPr>
        <w:t>«Кубанский государственный университет имени И.Т.Трубилина»</w:t>
      </w:r>
    </w:p>
    <w:p w14:paraId="63CD07B3" w14:textId="77777777" w:rsidR="001B6C3B" w:rsidRDefault="001B6C3B" w:rsidP="001B6C3B">
      <w:pPr>
        <w:spacing w:after="0" w:line="240" w:lineRule="auto"/>
        <w:ind w:left="4678"/>
        <w:rPr>
          <w:rFonts w:ascii="Times New Roman" w:hAnsi="Times New Roman" w:cs="Times New Roman"/>
          <w:sz w:val="24"/>
          <w:szCs w:val="24"/>
          <w:lang w:val="en-US"/>
        </w:rPr>
      </w:pPr>
      <w:r>
        <w:rPr>
          <w:rFonts w:ascii="Times New Roman" w:hAnsi="Times New Roman" w:cs="Times New Roman"/>
          <w:sz w:val="24"/>
          <w:szCs w:val="24"/>
          <w:lang w:val="en-US"/>
        </w:rPr>
        <w:t>Federal state budgetary educational institution of</w:t>
      </w:r>
    </w:p>
    <w:p w14:paraId="4BAD51CB" w14:textId="77777777" w:rsidR="001B6C3B" w:rsidRDefault="001B6C3B" w:rsidP="001B6C3B">
      <w:pPr>
        <w:spacing w:after="0" w:line="240" w:lineRule="auto"/>
        <w:ind w:left="4678"/>
        <w:rPr>
          <w:rFonts w:ascii="Times New Roman" w:hAnsi="Times New Roman" w:cs="Times New Roman"/>
          <w:sz w:val="24"/>
          <w:szCs w:val="24"/>
          <w:lang w:val="en-US"/>
        </w:rPr>
      </w:pPr>
      <w:r>
        <w:rPr>
          <w:rFonts w:ascii="Times New Roman" w:hAnsi="Times New Roman" w:cs="Times New Roman"/>
          <w:sz w:val="24"/>
          <w:szCs w:val="24"/>
          <w:lang w:val="en-US"/>
        </w:rPr>
        <w:t>higher education</w:t>
      </w:r>
    </w:p>
    <w:p w14:paraId="5327A493" w14:textId="77777777" w:rsidR="001B6C3B" w:rsidRDefault="001B6C3B" w:rsidP="001B6C3B">
      <w:pPr>
        <w:spacing w:after="0" w:line="240" w:lineRule="auto"/>
        <w:ind w:left="4678"/>
        <w:rPr>
          <w:rFonts w:ascii="Times New Roman" w:hAnsi="Times New Roman" w:cs="Times New Roman"/>
          <w:sz w:val="24"/>
          <w:szCs w:val="24"/>
          <w:lang w:val="en-US"/>
        </w:rPr>
      </w:pPr>
      <w:r>
        <w:rPr>
          <w:rFonts w:ascii="Times New Roman" w:hAnsi="Times New Roman" w:cs="Times New Roman"/>
          <w:sz w:val="24"/>
          <w:szCs w:val="24"/>
          <w:lang w:val="en-US"/>
        </w:rPr>
        <w:t>"Kuban state University named after I. T. Trubilin»</w:t>
      </w:r>
    </w:p>
    <w:p w14:paraId="32E16E59" w14:textId="77777777" w:rsidR="001B6C3B" w:rsidRDefault="001B6C3B" w:rsidP="001B6C3B">
      <w:pPr>
        <w:spacing w:after="0" w:line="240" w:lineRule="auto"/>
        <w:ind w:left="4678"/>
        <w:rPr>
          <w:rFonts w:ascii="Times New Roman" w:hAnsi="Times New Roman" w:cs="Times New Roman"/>
          <w:sz w:val="24"/>
          <w:szCs w:val="24"/>
        </w:rPr>
      </w:pPr>
      <w:r>
        <w:rPr>
          <w:rFonts w:ascii="Times New Roman" w:hAnsi="Times New Roman" w:cs="Times New Roman"/>
          <w:sz w:val="24"/>
          <w:szCs w:val="24"/>
        </w:rPr>
        <w:t>Российская Федерация, г. Краснодар</w:t>
      </w:r>
    </w:p>
    <w:p w14:paraId="0D532919" w14:textId="77777777" w:rsidR="001B6C3B" w:rsidRDefault="001B6C3B" w:rsidP="001B6C3B">
      <w:pPr>
        <w:spacing w:after="0" w:line="240" w:lineRule="auto"/>
        <w:ind w:left="4678"/>
        <w:rPr>
          <w:rFonts w:ascii="Times New Roman" w:hAnsi="Times New Roman" w:cs="Times New Roman"/>
          <w:sz w:val="24"/>
          <w:szCs w:val="24"/>
        </w:rPr>
      </w:pPr>
      <w:r>
        <w:rPr>
          <w:rFonts w:ascii="Times New Roman" w:hAnsi="Times New Roman" w:cs="Times New Roman"/>
          <w:sz w:val="24"/>
          <w:szCs w:val="24"/>
          <w:lang w:val="en-US"/>
        </w:rPr>
        <w:t>Russian</w:t>
      </w:r>
      <w:r w:rsidRPr="00430C1C">
        <w:rPr>
          <w:rFonts w:ascii="Times New Roman" w:hAnsi="Times New Roman" w:cs="Times New Roman"/>
          <w:sz w:val="24"/>
          <w:szCs w:val="24"/>
        </w:rPr>
        <w:t xml:space="preserve"> </w:t>
      </w:r>
      <w:r>
        <w:rPr>
          <w:rFonts w:ascii="Times New Roman" w:hAnsi="Times New Roman" w:cs="Times New Roman"/>
          <w:sz w:val="24"/>
          <w:szCs w:val="24"/>
          <w:lang w:val="en-US"/>
        </w:rPr>
        <w:t>Federation</w:t>
      </w:r>
      <w:r>
        <w:rPr>
          <w:rFonts w:ascii="Times New Roman" w:hAnsi="Times New Roman" w:cs="Times New Roman"/>
          <w:sz w:val="24"/>
          <w:szCs w:val="24"/>
        </w:rPr>
        <w:t xml:space="preserve">, </w:t>
      </w:r>
      <w:r>
        <w:rPr>
          <w:rFonts w:ascii="Times New Roman" w:hAnsi="Times New Roman" w:cs="Times New Roman"/>
          <w:sz w:val="24"/>
          <w:szCs w:val="24"/>
          <w:lang w:val="en-US"/>
        </w:rPr>
        <w:t>Krasnodar</w:t>
      </w:r>
    </w:p>
    <w:p w14:paraId="4A5C529D" w14:textId="77777777" w:rsidR="001B6C3B" w:rsidRDefault="00EE7838" w:rsidP="001B6C3B">
      <w:pPr>
        <w:spacing w:after="0" w:line="240" w:lineRule="auto"/>
        <w:ind w:left="4678"/>
        <w:rPr>
          <w:rFonts w:ascii="Times New Roman" w:hAnsi="Times New Roman" w:cs="Times New Roman"/>
          <w:sz w:val="24"/>
          <w:szCs w:val="24"/>
        </w:rPr>
      </w:pPr>
      <w:hyperlink r:id="rId25" w:history="1">
        <w:r w:rsidR="001B6C3B">
          <w:rPr>
            <w:rStyle w:val="a9"/>
            <w:rFonts w:ascii="Times New Roman" w:hAnsi="Times New Roman" w:cs="Times New Roman"/>
            <w:sz w:val="24"/>
            <w:szCs w:val="24"/>
            <w:lang w:val="en-US"/>
          </w:rPr>
          <w:t>a</w:t>
        </w:r>
        <w:r w:rsidR="001B6C3B">
          <w:rPr>
            <w:rStyle w:val="a9"/>
            <w:rFonts w:ascii="Times New Roman" w:hAnsi="Times New Roman" w:cs="Times New Roman"/>
            <w:sz w:val="24"/>
            <w:szCs w:val="24"/>
          </w:rPr>
          <w:t>_</w:t>
        </w:r>
        <w:r w:rsidR="001B6C3B">
          <w:rPr>
            <w:rStyle w:val="a9"/>
            <w:rFonts w:ascii="Times New Roman" w:hAnsi="Times New Roman" w:cs="Times New Roman"/>
            <w:sz w:val="24"/>
            <w:szCs w:val="24"/>
            <w:lang w:val="en-US"/>
          </w:rPr>
          <w:t>kasparyan</w:t>
        </w:r>
        <w:r w:rsidR="001B6C3B">
          <w:rPr>
            <w:rStyle w:val="a9"/>
            <w:rFonts w:ascii="Times New Roman" w:hAnsi="Times New Roman" w:cs="Times New Roman"/>
            <w:sz w:val="24"/>
            <w:szCs w:val="24"/>
          </w:rPr>
          <w:t>@</w:t>
        </w:r>
        <w:r w:rsidR="001B6C3B">
          <w:rPr>
            <w:rStyle w:val="a9"/>
            <w:rFonts w:ascii="Times New Roman" w:hAnsi="Times New Roman" w:cs="Times New Roman"/>
            <w:sz w:val="24"/>
            <w:szCs w:val="24"/>
            <w:lang w:val="en-US"/>
          </w:rPr>
          <w:t>inbox</w:t>
        </w:r>
        <w:r w:rsidR="001B6C3B">
          <w:rPr>
            <w:rStyle w:val="a9"/>
            <w:rFonts w:ascii="Times New Roman" w:hAnsi="Times New Roman" w:cs="Times New Roman"/>
            <w:sz w:val="24"/>
            <w:szCs w:val="24"/>
          </w:rPr>
          <w:t>.</w:t>
        </w:r>
        <w:r w:rsidR="001B6C3B">
          <w:rPr>
            <w:rStyle w:val="a9"/>
            <w:rFonts w:ascii="Times New Roman" w:hAnsi="Times New Roman" w:cs="Times New Roman"/>
            <w:sz w:val="24"/>
            <w:szCs w:val="24"/>
            <w:lang w:val="en-US"/>
          </w:rPr>
          <w:t>ru</w:t>
        </w:r>
      </w:hyperlink>
    </w:p>
    <w:p w14:paraId="52DA2328" w14:textId="77777777" w:rsidR="001B6C3B" w:rsidRDefault="001B6C3B" w:rsidP="001B6C3B">
      <w:pPr>
        <w:spacing w:after="0" w:line="240" w:lineRule="auto"/>
        <w:ind w:left="4678"/>
        <w:rPr>
          <w:rFonts w:ascii="Times New Roman" w:hAnsi="Times New Roman" w:cs="Times New Roman"/>
          <w:sz w:val="24"/>
          <w:szCs w:val="24"/>
        </w:rPr>
      </w:pPr>
    </w:p>
    <w:p w14:paraId="1583925F" w14:textId="77777777" w:rsidR="001B6C3B" w:rsidRDefault="001B6C3B" w:rsidP="001B6C3B">
      <w:pPr>
        <w:spacing w:after="0" w:line="240" w:lineRule="auto"/>
        <w:ind w:left="4678"/>
        <w:rPr>
          <w:rFonts w:ascii="Times New Roman" w:hAnsi="Times New Roman" w:cs="Times New Roman"/>
          <w:b/>
          <w:sz w:val="24"/>
          <w:szCs w:val="24"/>
        </w:rPr>
      </w:pPr>
      <w:r>
        <w:rPr>
          <w:rFonts w:ascii="Times New Roman" w:hAnsi="Times New Roman" w:cs="Times New Roman"/>
          <w:b/>
          <w:sz w:val="24"/>
          <w:szCs w:val="24"/>
        </w:rPr>
        <w:t>Кончаков Александр Борисович</w:t>
      </w:r>
    </w:p>
    <w:p w14:paraId="7392FC02" w14:textId="77777777" w:rsidR="001B6C3B" w:rsidRDefault="001B6C3B" w:rsidP="001B6C3B">
      <w:pPr>
        <w:spacing w:after="0" w:line="240" w:lineRule="auto"/>
        <w:ind w:left="4678"/>
        <w:rPr>
          <w:rFonts w:ascii="Times New Roman" w:hAnsi="Times New Roman" w:cs="Times New Roman"/>
          <w:sz w:val="24"/>
          <w:szCs w:val="24"/>
        </w:rPr>
      </w:pPr>
      <w:r>
        <w:rPr>
          <w:rFonts w:ascii="Times New Roman" w:hAnsi="Times New Roman" w:cs="Times New Roman"/>
          <w:sz w:val="24"/>
          <w:szCs w:val="24"/>
        </w:rPr>
        <w:t>Преподаватель Федеральное государственное бюджетное образовательное учреждение</w:t>
      </w:r>
    </w:p>
    <w:p w14:paraId="68DACD17" w14:textId="77777777" w:rsidR="001B6C3B" w:rsidRDefault="001B6C3B" w:rsidP="001B6C3B">
      <w:pPr>
        <w:spacing w:after="0" w:line="240" w:lineRule="auto"/>
        <w:ind w:left="4678"/>
        <w:rPr>
          <w:rFonts w:ascii="Times New Roman" w:hAnsi="Times New Roman" w:cs="Times New Roman"/>
          <w:sz w:val="24"/>
          <w:szCs w:val="24"/>
        </w:rPr>
      </w:pPr>
      <w:r>
        <w:rPr>
          <w:rFonts w:ascii="Times New Roman" w:hAnsi="Times New Roman" w:cs="Times New Roman"/>
          <w:sz w:val="24"/>
          <w:szCs w:val="24"/>
        </w:rPr>
        <w:t>высшего образования</w:t>
      </w:r>
    </w:p>
    <w:p w14:paraId="2CFAC8A5" w14:textId="77777777" w:rsidR="001B6C3B" w:rsidRDefault="001B6C3B" w:rsidP="001B6C3B">
      <w:pPr>
        <w:spacing w:after="0" w:line="240" w:lineRule="auto"/>
        <w:ind w:left="4678"/>
        <w:rPr>
          <w:rFonts w:ascii="Times New Roman" w:hAnsi="Times New Roman" w:cs="Times New Roman"/>
          <w:sz w:val="24"/>
          <w:szCs w:val="24"/>
        </w:rPr>
      </w:pPr>
      <w:r>
        <w:rPr>
          <w:rFonts w:ascii="Times New Roman" w:hAnsi="Times New Roman" w:cs="Times New Roman"/>
          <w:sz w:val="24"/>
          <w:szCs w:val="24"/>
        </w:rPr>
        <w:t>«Кубанский государственный университет имени И.Т. Трубилина»</w:t>
      </w:r>
    </w:p>
    <w:p w14:paraId="2BF01AE3" w14:textId="77777777" w:rsidR="001B6C3B" w:rsidRDefault="001B6C3B" w:rsidP="001B6C3B">
      <w:pPr>
        <w:spacing w:after="0" w:line="240" w:lineRule="auto"/>
        <w:ind w:left="4678"/>
        <w:rPr>
          <w:rFonts w:ascii="Times New Roman" w:hAnsi="Times New Roman" w:cs="Times New Roman"/>
          <w:sz w:val="24"/>
          <w:szCs w:val="24"/>
        </w:rPr>
      </w:pPr>
    </w:p>
    <w:p w14:paraId="3544521A" w14:textId="77777777" w:rsidR="001B6C3B" w:rsidRDefault="001B6C3B" w:rsidP="001B6C3B">
      <w:pPr>
        <w:spacing w:after="0" w:line="240" w:lineRule="auto"/>
        <w:ind w:firstLine="709"/>
        <w:jc w:val="center"/>
        <w:rPr>
          <w:rFonts w:ascii="Times New Roman" w:hAnsi="Times New Roman" w:cs="Times New Roman"/>
          <w:b/>
          <w:sz w:val="24"/>
          <w:szCs w:val="24"/>
        </w:rPr>
      </w:pPr>
      <w:r>
        <w:rPr>
          <w:rFonts w:ascii="Times New Roman" w:hAnsi="Times New Roman" w:cs="Times New Roman"/>
          <w:b/>
          <w:sz w:val="24"/>
          <w:szCs w:val="24"/>
        </w:rPr>
        <w:t>К ВОПРОСУ О РЕОРГАНИЗАЦИИ ЮРИДИЧЕСКИХ ЛИЦ</w:t>
      </w:r>
    </w:p>
    <w:p w14:paraId="190E8EE8" w14:textId="77777777" w:rsidR="001B6C3B" w:rsidRDefault="001B6C3B" w:rsidP="001B6C3B">
      <w:pPr>
        <w:spacing w:after="0" w:line="240" w:lineRule="auto"/>
        <w:ind w:firstLine="709"/>
        <w:jc w:val="center"/>
        <w:rPr>
          <w:rFonts w:ascii="Times New Roman" w:hAnsi="Times New Roman" w:cs="Times New Roman"/>
          <w:b/>
          <w:sz w:val="24"/>
          <w:szCs w:val="24"/>
          <w:lang w:val="en-US"/>
        </w:rPr>
      </w:pPr>
      <w:r>
        <w:rPr>
          <w:rFonts w:ascii="Times New Roman" w:hAnsi="Times New Roman" w:cs="Times New Roman"/>
          <w:b/>
          <w:sz w:val="24"/>
          <w:szCs w:val="24"/>
          <w:lang w:val="en-US"/>
        </w:rPr>
        <w:t>ON THE ISSUE OF REORGANIZATION OF LEGAL ENTITIES</w:t>
      </w:r>
    </w:p>
    <w:p w14:paraId="5E8D1D7E" w14:textId="77777777" w:rsidR="001B6C3B" w:rsidRDefault="001B6C3B" w:rsidP="001B6C3B">
      <w:pPr>
        <w:spacing w:after="0" w:line="240" w:lineRule="auto"/>
        <w:ind w:firstLine="709"/>
        <w:jc w:val="both"/>
        <w:rPr>
          <w:rFonts w:ascii="Times New Roman" w:hAnsi="Times New Roman" w:cs="Times New Roman"/>
          <w:sz w:val="24"/>
          <w:szCs w:val="24"/>
          <w:lang w:val="en-US"/>
        </w:rPr>
      </w:pPr>
    </w:p>
    <w:p w14:paraId="66B141FD"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Аннотация: В д</w:t>
      </w:r>
      <w:r>
        <w:rPr>
          <w:rFonts w:ascii="Times New Roman" w:hAnsi="Times New Roman" w:cs="Times New Roman"/>
          <w:sz w:val="24"/>
          <w:szCs w:val="24"/>
          <w:lang w:val="en-US"/>
        </w:rPr>
        <w:t>a</w:t>
      </w:r>
      <w:r>
        <w:rPr>
          <w:rFonts w:ascii="Times New Roman" w:hAnsi="Times New Roman" w:cs="Times New Roman"/>
          <w:sz w:val="24"/>
          <w:szCs w:val="24"/>
        </w:rPr>
        <w:t xml:space="preserve">нной статье </w:t>
      </w:r>
      <w:r>
        <w:rPr>
          <w:rFonts w:ascii="Times New Roman" w:hAnsi="Times New Roman" w:cs="Times New Roman"/>
          <w:sz w:val="24"/>
          <w:szCs w:val="24"/>
          <w:lang w:val="en-US"/>
        </w:rPr>
        <w:t>a</w:t>
      </w:r>
      <w:r>
        <w:rPr>
          <w:rFonts w:ascii="Times New Roman" w:hAnsi="Times New Roman" w:cs="Times New Roman"/>
          <w:sz w:val="24"/>
          <w:szCs w:val="24"/>
        </w:rPr>
        <w:t>втором р</w:t>
      </w:r>
      <w:r>
        <w:rPr>
          <w:rFonts w:ascii="Times New Roman" w:hAnsi="Times New Roman" w:cs="Times New Roman"/>
          <w:sz w:val="24"/>
          <w:szCs w:val="24"/>
          <w:lang w:val="en-US"/>
        </w:rPr>
        <w:t>a</w:t>
      </w:r>
      <w:r>
        <w:rPr>
          <w:rFonts w:ascii="Times New Roman" w:hAnsi="Times New Roman" w:cs="Times New Roman"/>
          <w:sz w:val="24"/>
          <w:szCs w:val="24"/>
        </w:rPr>
        <w:t>ссмотрены осн</w:t>
      </w:r>
      <w:r>
        <w:rPr>
          <w:rFonts w:ascii="Times New Roman" w:hAnsi="Times New Roman" w:cs="Times New Roman"/>
          <w:sz w:val="24"/>
          <w:szCs w:val="24"/>
          <w:lang w:val="en-US"/>
        </w:rPr>
        <w:t>o</w:t>
      </w:r>
      <w:r>
        <w:rPr>
          <w:rFonts w:ascii="Times New Roman" w:hAnsi="Times New Roman" w:cs="Times New Roman"/>
          <w:sz w:val="24"/>
          <w:szCs w:val="24"/>
        </w:rPr>
        <w:t xml:space="preserve">вные положения о реорганизации юридических лиц, особое внимание уделено определению реорганизации, приведены взгляды различных цивилистов. </w:t>
      </w:r>
      <w:r>
        <w:rPr>
          <w:rFonts w:ascii="Times New Roman" w:hAnsi="Times New Roman" w:cs="Times New Roman"/>
          <w:sz w:val="24"/>
          <w:szCs w:val="24"/>
          <w:lang w:val="en-US"/>
        </w:rPr>
        <w:t>O</w:t>
      </w:r>
      <w:r>
        <w:rPr>
          <w:rFonts w:ascii="Times New Roman" w:hAnsi="Times New Roman" w:cs="Times New Roman"/>
          <w:sz w:val="24"/>
          <w:szCs w:val="24"/>
        </w:rPr>
        <w:t>тдельное внимание автор уделил видам и формам реорганизации юридических лиц. Ре</w:t>
      </w:r>
      <w:r>
        <w:rPr>
          <w:rFonts w:ascii="Times New Roman" w:hAnsi="Times New Roman" w:cs="Times New Roman"/>
          <w:sz w:val="24"/>
          <w:szCs w:val="24"/>
          <w:lang w:val="en-US"/>
        </w:rPr>
        <w:t>o</w:t>
      </w:r>
      <w:r>
        <w:rPr>
          <w:rFonts w:ascii="Times New Roman" w:hAnsi="Times New Roman" w:cs="Times New Roman"/>
          <w:sz w:val="24"/>
          <w:szCs w:val="24"/>
        </w:rPr>
        <w:t>рганизация как таковая представляет собой сложный правовой институт, который нельзя характеризовать ни к</w:t>
      </w:r>
      <w:r>
        <w:rPr>
          <w:rFonts w:ascii="Times New Roman" w:hAnsi="Times New Roman" w:cs="Times New Roman"/>
          <w:sz w:val="24"/>
          <w:szCs w:val="24"/>
          <w:lang w:val="en-US"/>
        </w:rPr>
        <w:t>a</w:t>
      </w:r>
      <w:r>
        <w:rPr>
          <w:rFonts w:ascii="Times New Roman" w:hAnsi="Times New Roman" w:cs="Times New Roman"/>
          <w:sz w:val="24"/>
          <w:szCs w:val="24"/>
        </w:rPr>
        <w:t>к сделку, ни как процесс, ни как прекращение юридического лица.</w:t>
      </w:r>
    </w:p>
    <w:p w14:paraId="393D713C"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Ключевые слова: реорганизация, слияние, присоединение, выделение, разделение, преобразование, юридическое лицо, правопреемство, гражданский кодекс, гражданское законодательство.</w:t>
      </w:r>
    </w:p>
    <w:p w14:paraId="052DDAF9" w14:textId="77777777" w:rsidR="001B6C3B" w:rsidRDefault="001B6C3B" w:rsidP="001B6C3B">
      <w:pPr>
        <w:spacing w:after="0" w:line="240" w:lineRule="auto"/>
        <w:ind w:firstLine="709"/>
        <w:jc w:val="both"/>
        <w:rPr>
          <w:rFonts w:ascii="Times New Roman" w:hAnsi="Times New Roman" w:cs="Times New Roman"/>
          <w:sz w:val="24"/>
          <w:szCs w:val="24"/>
          <w:lang w:val="en-US"/>
        </w:rPr>
      </w:pPr>
      <w:r>
        <w:rPr>
          <w:rFonts w:ascii="Times New Roman" w:hAnsi="Times New Roman" w:cs="Times New Roman"/>
          <w:sz w:val="24"/>
          <w:szCs w:val="24"/>
          <w:lang w:val="en-US"/>
        </w:rPr>
        <w:t>Annotation: in this article, the author considers the main provisions on the reorganization of legal entities, pays special attention to the definition of reorganization, and presents the views of various civilists. The author paid special attention to the types and forms of reorganization of legal entities. Reorganization as such is a complex legal institution that cannot be characterized as a transaction, process, or termination of a legal entity.</w:t>
      </w:r>
    </w:p>
    <w:p w14:paraId="4B364392" w14:textId="77777777" w:rsidR="001B6C3B" w:rsidRDefault="001B6C3B" w:rsidP="001B6C3B">
      <w:pPr>
        <w:spacing w:after="0" w:line="240" w:lineRule="auto"/>
        <w:ind w:firstLine="709"/>
        <w:jc w:val="both"/>
        <w:rPr>
          <w:rFonts w:ascii="Times New Roman" w:hAnsi="Times New Roman" w:cs="Times New Roman"/>
          <w:sz w:val="24"/>
          <w:szCs w:val="24"/>
          <w:lang w:val="en-US"/>
        </w:rPr>
      </w:pPr>
      <w:r>
        <w:rPr>
          <w:rFonts w:ascii="Times New Roman" w:hAnsi="Times New Roman" w:cs="Times New Roman"/>
          <w:sz w:val="24"/>
          <w:szCs w:val="24"/>
          <w:lang w:val="en-US"/>
        </w:rPr>
        <w:t>Keywords: reorganization, merger, accession, separation, division, transformation, legal entity, succession, civil code, civil legislation.</w:t>
      </w:r>
    </w:p>
    <w:p w14:paraId="7BCB0BF5"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lang w:val="en-US"/>
        </w:rPr>
        <w:t xml:space="preserve"> </w:t>
      </w:r>
      <w:r>
        <w:rPr>
          <w:rFonts w:ascii="Times New Roman" w:hAnsi="Times New Roman" w:cs="Times New Roman"/>
          <w:sz w:val="24"/>
          <w:szCs w:val="24"/>
        </w:rPr>
        <w:t>В современной цивилистической д</w:t>
      </w:r>
      <w:r>
        <w:rPr>
          <w:rFonts w:ascii="Times New Roman" w:hAnsi="Times New Roman" w:cs="Times New Roman"/>
          <w:sz w:val="24"/>
          <w:szCs w:val="24"/>
          <w:lang w:val="en-US"/>
        </w:rPr>
        <w:t>o</w:t>
      </w:r>
      <w:r>
        <w:rPr>
          <w:rFonts w:ascii="Times New Roman" w:hAnsi="Times New Roman" w:cs="Times New Roman"/>
          <w:sz w:val="24"/>
          <w:szCs w:val="24"/>
        </w:rPr>
        <w:t>ктрине существуют р</w:t>
      </w:r>
      <w:r>
        <w:rPr>
          <w:rFonts w:ascii="Times New Roman" w:hAnsi="Times New Roman" w:cs="Times New Roman"/>
          <w:sz w:val="24"/>
          <w:szCs w:val="24"/>
          <w:lang w:val="en-US"/>
        </w:rPr>
        <w:t>a</w:t>
      </w:r>
      <w:r>
        <w:rPr>
          <w:rFonts w:ascii="Times New Roman" w:hAnsi="Times New Roman" w:cs="Times New Roman"/>
          <w:sz w:val="24"/>
          <w:szCs w:val="24"/>
        </w:rPr>
        <w:t>зные мн</w:t>
      </w:r>
      <w:r>
        <w:rPr>
          <w:rFonts w:ascii="Times New Roman" w:hAnsi="Times New Roman" w:cs="Times New Roman"/>
          <w:sz w:val="24"/>
          <w:szCs w:val="24"/>
          <w:lang w:val="en-US"/>
        </w:rPr>
        <w:t>e</w:t>
      </w:r>
      <w:r>
        <w:rPr>
          <w:rFonts w:ascii="Times New Roman" w:hAnsi="Times New Roman" w:cs="Times New Roman"/>
          <w:sz w:val="24"/>
          <w:szCs w:val="24"/>
        </w:rPr>
        <w:t>ния отн</w:t>
      </w:r>
      <w:r>
        <w:rPr>
          <w:rFonts w:ascii="Times New Roman" w:hAnsi="Times New Roman" w:cs="Times New Roman"/>
          <w:sz w:val="24"/>
          <w:szCs w:val="24"/>
          <w:lang w:val="en-US"/>
        </w:rPr>
        <w:t>o</w:t>
      </w:r>
      <w:r>
        <w:rPr>
          <w:rFonts w:ascii="Times New Roman" w:hAnsi="Times New Roman" w:cs="Times New Roman"/>
          <w:sz w:val="24"/>
          <w:szCs w:val="24"/>
        </w:rPr>
        <w:t>сительно дефиниции и правовой природы реорганизации юридического лица. В основу определения входят, существенные признаки предмета или процесса. А. А. Чукрееев предлагает следующее определение: «Под реорганизацией юридических лиц следует понимать создание и прекращение деятельности юридических лиц (создание − при выделении, прекращение − при присоединении), сопровождающееся универсальным правопреемством, т. е. переходом, по общему правилу, всех прав и обязанностей от реорганизуемых юридических лиц к юридических лицам, создаваемым путем реорганизации, либо от одних реорганизуемых юридических лиц к другим (присоединение). А. В. К</w:t>
      </w:r>
      <w:r>
        <w:rPr>
          <w:rFonts w:ascii="Times New Roman" w:hAnsi="Times New Roman" w:cs="Times New Roman"/>
          <w:sz w:val="24"/>
          <w:szCs w:val="24"/>
          <w:lang w:val="en-US"/>
        </w:rPr>
        <w:t>o</w:t>
      </w:r>
      <w:r>
        <w:rPr>
          <w:rFonts w:ascii="Times New Roman" w:hAnsi="Times New Roman" w:cs="Times New Roman"/>
          <w:sz w:val="24"/>
          <w:szCs w:val="24"/>
        </w:rPr>
        <w:t xml:space="preserve">ровайко утверждает, что «реорганизация является фикцией и без нее необходимо было бы ликвидировать акционерное общество, превратить обязательственные права акционеров в вещные, а последние — снова в </w:t>
      </w:r>
      <w:r>
        <w:rPr>
          <w:rFonts w:ascii="Times New Roman" w:hAnsi="Times New Roman" w:cs="Times New Roman"/>
          <w:sz w:val="24"/>
          <w:szCs w:val="24"/>
        </w:rPr>
        <w:lastRenderedPageBreak/>
        <w:t>обязательственные, уже в новом обществе». Аналогичной точки зрения придерживается Д. В. Жд</w:t>
      </w:r>
      <w:r>
        <w:rPr>
          <w:rFonts w:ascii="Times New Roman" w:hAnsi="Times New Roman" w:cs="Times New Roman"/>
          <w:sz w:val="24"/>
          <w:szCs w:val="24"/>
          <w:lang w:val="en-US"/>
        </w:rPr>
        <w:t>a</w:t>
      </w:r>
      <w:r>
        <w:rPr>
          <w:rFonts w:ascii="Times New Roman" w:hAnsi="Times New Roman" w:cs="Times New Roman"/>
          <w:sz w:val="24"/>
          <w:szCs w:val="24"/>
        </w:rPr>
        <w:t>нов, указывающий, чт</w:t>
      </w:r>
      <w:r>
        <w:rPr>
          <w:rFonts w:ascii="Times New Roman" w:hAnsi="Times New Roman" w:cs="Times New Roman"/>
          <w:sz w:val="24"/>
          <w:szCs w:val="24"/>
          <w:lang w:val="en-US"/>
        </w:rPr>
        <w:t>o</w:t>
      </w:r>
      <w:r>
        <w:rPr>
          <w:rFonts w:ascii="Times New Roman" w:hAnsi="Times New Roman" w:cs="Times New Roman"/>
          <w:sz w:val="24"/>
          <w:szCs w:val="24"/>
        </w:rPr>
        <w:t xml:space="preserve"> «институт реорганизации представляет собой не что иное, как юридическую фикцию, опосредующую реальные экономические процессы». </w:t>
      </w:r>
    </w:p>
    <w:p w14:paraId="3796A0A1"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литературе закрепилось мнение, что «причины принятия решения о реорганизации не имеют юридического значения». Думается, цель проведения реорганизации неразрывно связана с объектом правоотношения, и в этой связи не стоит умалять значения цели и интереса, которые являются мотивами в действии субъекта права и должны учитываться при правовой оценке характера, сущности действия, равно как и для фактического правового признания этого действия. </w:t>
      </w:r>
    </w:p>
    <w:p w14:paraId="289D0640"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При формулировании целей всех форм реорганизации необходимо исходить из того, что реорганизация по российскому законодательству может происходить как в добровольном, так и в принудительном порядке, поэтому причины реорганизации могут быть сильно дифференцированы.  </w:t>
      </w:r>
      <w:r>
        <w:rPr>
          <w:rStyle w:val="a7"/>
          <w:rFonts w:ascii="Times New Roman" w:hAnsi="Times New Roman" w:cs="Times New Roman"/>
          <w:sz w:val="24"/>
          <w:szCs w:val="24"/>
        </w:rPr>
        <w:footnoteReference w:id="184"/>
      </w:r>
    </w:p>
    <w:p w14:paraId="2B057CD9"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Под добровольной понимается реорганизация, инициатором проведения которой являются учредители юридического лица или уполномоченный на такое решение орган управления юридического лица.</w:t>
      </w:r>
    </w:p>
    <w:p w14:paraId="0C936222"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Под принудительной понимается реорганизация, которая проводится по решению уполномоченных государственных органов или решению суда, и осуществляется в соответствии с требованиями гражданского законодательства (ст. 57 ГК РФ).</w:t>
      </w:r>
      <w:r>
        <w:rPr>
          <w:rStyle w:val="a7"/>
          <w:rFonts w:ascii="Times New Roman" w:hAnsi="Times New Roman" w:cs="Times New Roman"/>
          <w:sz w:val="24"/>
          <w:szCs w:val="24"/>
        </w:rPr>
        <w:footnoteReference w:id="185"/>
      </w:r>
    </w:p>
    <w:p w14:paraId="0D2868E7" w14:textId="77777777" w:rsidR="001B6C3B" w:rsidRDefault="001B6C3B" w:rsidP="001B6C3B">
      <w:pPr>
        <w:spacing w:after="0" w:line="240" w:lineRule="auto"/>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Действующее законодательство не содержит  определения реорганизации, что, к сожалению, традиционно для нашего правопорядка. Статья 57 ГК указывает, что реорганизация юридического лица может быть осуществлена по решению его учредителей (участников) или органа юридического лица, уполномоченного на то учредительным документом.</w:t>
      </w:r>
      <w:r>
        <w:rPr>
          <w:rFonts w:ascii="Times New Roman" w:hAnsi="Times New Roman" w:cs="Times New Roman"/>
          <w:sz w:val="24"/>
          <w:szCs w:val="24"/>
        </w:rPr>
        <w:t xml:space="preserve"> </w:t>
      </w:r>
    </w:p>
    <w:p w14:paraId="624D2262"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Из эт</w:t>
      </w:r>
      <w:r>
        <w:rPr>
          <w:rFonts w:ascii="Times New Roman" w:hAnsi="Times New Roman" w:cs="Times New Roman"/>
          <w:sz w:val="24"/>
          <w:szCs w:val="24"/>
          <w:lang w:val="en-US"/>
        </w:rPr>
        <w:t>o</w:t>
      </w:r>
      <w:r>
        <w:rPr>
          <w:rFonts w:ascii="Times New Roman" w:hAnsi="Times New Roman" w:cs="Times New Roman"/>
          <w:sz w:val="24"/>
          <w:szCs w:val="24"/>
        </w:rPr>
        <w:t>й н</w:t>
      </w:r>
      <w:r>
        <w:rPr>
          <w:rFonts w:ascii="Times New Roman" w:hAnsi="Times New Roman" w:cs="Times New Roman"/>
          <w:sz w:val="24"/>
          <w:szCs w:val="24"/>
          <w:lang w:val="en-US"/>
        </w:rPr>
        <w:t>o</w:t>
      </w:r>
      <w:r>
        <w:rPr>
          <w:rFonts w:ascii="Times New Roman" w:hAnsi="Times New Roman" w:cs="Times New Roman"/>
          <w:sz w:val="24"/>
          <w:szCs w:val="24"/>
        </w:rPr>
        <w:t>рмы вытекает неск</w:t>
      </w:r>
      <w:r>
        <w:rPr>
          <w:rFonts w:ascii="Times New Roman" w:hAnsi="Times New Roman" w:cs="Times New Roman"/>
          <w:sz w:val="24"/>
          <w:szCs w:val="24"/>
          <w:lang w:val="en-US"/>
        </w:rPr>
        <w:t>o</w:t>
      </w:r>
      <w:r>
        <w:rPr>
          <w:rFonts w:ascii="Times New Roman" w:hAnsi="Times New Roman" w:cs="Times New Roman"/>
          <w:sz w:val="24"/>
          <w:szCs w:val="24"/>
        </w:rPr>
        <w:t>лько в</w:t>
      </w:r>
      <w:r>
        <w:rPr>
          <w:rFonts w:ascii="Times New Roman" w:hAnsi="Times New Roman" w:cs="Times New Roman"/>
          <w:sz w:val="24"/>
          <w:szCs w:val="24"/>
          <w:lang w:val="en-US"/>
        </w:rPr>
        <w:t>a</w:t>
      </w:r>
      <w:r>
        <w:rPr>
          <w:rFonts w:ascii="Times New Roman" w:hAnsi="Times New Roman" w:cs="Times New Roman"/>
          <w:sz w:val="24"/>
          <w:szCs w:val="24"/>
        </w:rPr>
        <w:t>жных выв</w:t>
      </w:r>
      <w:r>
        <w:rPr>
          <w:rFonts w:ascii="Times New Roman" w:hAnsi="Times New Roman" w:cs="Times New Roman"/>
          <w:sz w:val="24"/>
          <w:szCs w:val="24"/>
          <w:lang w:val="en-US"/>
        </w:rPr>
        <w:t>o</w:t>
      </w:r>
      <w:r>
        <w:rPr>
          <w:rFonts w:ascii="Times New Roman" w:hAnsi="Times New Roman" w:cs="Times New Roman"/>
          <w:sz w:val="24"/>
          <w:szCs w:val="24"/>
        </w:rPr>
        <w:t>д</w:t>
      </w:r>
      <w:r>
        <w:rPr>
          <w:rFonts w:ascii="Times New Roman" w:hAnsi="Times New Roman" w:cs="Times New Roman"/>
          <w:sz w:val="24"/>
          <w:szCs w:val="24"/>
          <w:lang w:val="en-US"/>
        </w:rPr>
        <w:t>o</w:t>
      </w:r>
      <w:r>
        <w:rPr>
          <w:rFonts w:ascii="Times New Roman" w:hAnsi="Times New Roman" w:cs="Times New Roman"/>
          <w:sz w:val="24"/>
          <w:szCs w:val="24"/>
        </w:rPr>
        <w:t>в, значимых для понимания правового режима реорганизации в российском праве:</w:t>
      </w:r>
    </w:p>
    <w:p w14:paraId="442CF9D8"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институт реорганизации в нашем праве применяется только для изменения прав и обязанностей юридического лица, но не других субъектов права;</w:t>
      </w:r>
    </w:p>
    <w:p w14:paraId="0C79B10F"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законодательство не с</w:t>
      </w:r>
      <w:r>
        <w:rPr>
          <w:rFonts w:ascii="Times New Roman" w:hAnsi="Times New Roman" w:cs="Times New Roman"/>
          <w:sz w:val="24"/>
          <w:szCs w:val="24"/>
          <w:lang w:val="en-US"/>
        </w:rPr>
        <w:t>o</w:t>
      </w:r>
      <w:r>
        <w:rPr>
          <w:rFonts w:ascii="Times New Roman" w:hAnsi="Times New Roman" w:cs="Times New Roman"/>
          <w:sz w:val="24"/>
          <w:szCs w:val="24"/>
        </w:rPr>
        <w:t>держит никакого обобщенного перечня признаков, наличие которых позволяло бы квалифицировать то или иное явление юридической действительности как реорганизацию. В связи с этим в н</w:t>
      </w:r>
      <w:r>
        <w:rPr>
          <w:rFonts w:ascii="Times New Roman" w:hAnsi="Times New Roman" w:cs="Times New Roman"/>
          <w:sz w:val="24"/>
          <w:szCs w:val="24"/>
          <w:lang w:val="en-US"/>
        </w:rPr>
        <w:t>a</w:t>
      </w:r>
      <w:r>
        <w:rPr>
          <w:rFonts w:ascii="Times New Roman" w:hAnsi="Times New Roman" w:cs="Times New Roman"/>
          <w:sz w:val="24"/>
          <w:szCs w:val="24"/>
        </w:rPr>
        <w:t>шем праве сохраняется множество институтов, которые в части правовых последствий, порядка осуществления прав и обязанностей очень схожи с реорганизацией, но не признаются в качестве таковой законом;</w:t>
      </w:r>
    </w:p>
    <w:p w14:paraId="338A3AE8"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под реорганизацией понимаются только такие действия, которые квалифицируются законом в качестве слияния, присоединения, разделения, выделения и преобразования.</w:t>
      </w:r>
    </w:p>
    <w:p w14:paraId="5902A16F"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eastAsia="Times New Roman" w:hAnsi="Times New Roman" w:cs="Times New Roman"/>
          <w:sz w:val="24"/>
          <w:szCs w:val="24"/>
          <w:lang w:eastAsia="ru-RU"/>
        </w:rPr>
        <w:t>Реорганизация осуществляется пятью способами: слиянием, присоединением, разделением, выделением и преобразованием. Каждому из указанных способов соответствует определенный объем переходящих прав и обязанностей(правопреемство). Поскольку реорганизация существенно затрагивает интересы кредиторов юридического лица, обязательным ее условием является предварительное уведомление кредиторов, которые вправе требовать от должника досрочного исполнения обязательств и возмещения убытков.</w:t>
      </w:r>
    </w:p>
    <w:p w14:paraId="54F80048" w14:textId="77777777" w:rsidR="001B6C3B" w:rsidRDefault="001B6C3B" w:rsidP="001B6C3B">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 зависимости от способа реорганизации она оформляется либо передаточным актом (при слиянии, присоединении, преобразовании), либо разделительным балансом (при разделении, выделении).</w:t>
      </w:r>
    </w:p>
    <w:p w14:paraId="492FA5A5" w14:textId="77777777" w:rsidR="001B6C3B" w:rsidRDefault="001B6C3B" w:rsidP="001B6C3B">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Реорганизация считается законченной в момент государственной регистрации вновь созданных юридических лиц (при присоединении — в момент исключения присоединенного юридического лица из реестра).</w:t>
      </w:r>
    </w:p>
    <w:p w14:paraId="43F27C77" w14:textId="77777777" w:rsidR="001B6C3B" w:rsidRDefault="001B6C3B" w:rsidP="001B6C3B">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Ликвидация юридического лица (за исключением учреждения, казенного предприятия, политической партии и религиозной организации) происходит в связи с решением учредителей (участников)либо по решению суда в связи с его банкротством. Процедура банкротства происходит в соответствии с основаниями, порядком и последствиями, установленными Гражданским кодексом РФ (ст. 65) и Федеральным законом от 26 октября 2002 г. № 127-ФЗ «О несостоятельности (банкротстве)».</w:t>
      </w:r>
      <w:r>
        <w:rPr>
          <w:rStyle w:val="a7"/>
          <w:rFonts w:ascii="Times New Roman" w:eastAsia="Times New Roman" w:hAnsi="Times New Roman" w:cs="Times New Roman"/>
          <w:sz w:val="24"/>
          <w:szCs w:val="24"/>
          <w:lang w:eastAsia="ru-RU"/>
        </w:rPr>
        <w:footnoteReference w:id="186"/>
      </w:r>
    </w:p>
    <w:p w14:paraId="489DACAF"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eastAsia="Times New Roman" w:hAnsi="Times New Roman" w:cs="Times New Roman"/>
          <w:sz w:val="24"/>
          <w:szCs w:val="24"/>
          <w:lang w:eastAsia="ru-RU"/>
        </w:rPr>
        <w:t>1.Слияние является формой реорганизации, которая (иногда под другими наименованиями) традиционно используется в отечественном праве (с конца XVIII в.).</w:t>
      </w:r>
    </w:p>
    <w:p w14:paraId="63F68C0A" w14:textId="77777777" w:rsidR="001B6C3B" w:rsidRDefault="001B6C3B" w:rsidP="001B6C3B">
      <w:pPr>
        <w:spacing w:after="0" w:line="240" w:lineRule="auto"/>
        <w:ind w:firstLine="709"/>
        <w:jc w:val="both"/>
        <w:rPr>
          <w:rFonts w:ascii="Times New Roman" w:hAnsi="Times New Roman" w:cs="Times New Roman"/>
          <w:sz w:val="24"/>
          <w:szCs w:val="24"/>
        </w:rPr>
      </w:pPr>
      <w:r>
        <w:rPr>
          <w:rFonts w:ascii="Times New Roman" w:eastAsia="Times New Roman" w:hAnsi="Times New Roman" w:cs="Times New Roman"/>
          <w:sz w:val="24"/>
          <w:szCs w:val="24"/>
          <w:lang w:eastAsia="ru-RU"/>
        </w:rPr>
        <w:t>Кодекс лишь называет слияние в числе форм реорганизации, указывает на особенности правопреемства при его осуществлении, но не содержит каких-либо иных положений, специально регулирующих слияние.</w:t>
      </w:r>
    </w:p>
    <w:p w14:paraId="04674D01" w14:textId="77777777" w:rsidR="001B6C3B" w:rsidRDefault="001B6C3B" w:rsidP="001B6C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Тем не менее, в части определения слияния следует отметить, что ряд специальных законов его содержат, в частности:</w:t>
      </w:r>
    </w:p>
    <w:p w14:paraId="0A01CC06" w14:textId="77777777" w:rsidR="001B6C3B" w:rsidRDefault="001B6C3B" w:rsidP="001B6C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ст. 16 ФЗ «Об акционерных обществах» называет слиянием акционерных обществ «возникновение нового общества путем передачи ему всех прав и обязанностей двух или нескольких обществ с прекращением последних»;</w:t>
      </w:r>
    </w:p>
    <w:p w14:paraId="01FCBF8D" w14:textId="77777777" w:rsidR="001B6C3B" w:rsidRDefault="001B6C3B" w:rsidP="001B6C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ст. 52 ФЗ «Об обществах с ограниченной ответственностью» признает слиянием обществ с ограниченной ответственностью «создание нового общества с передачей ему всех прав и обязанностей двух или нескольких обществ и прекращением последних»;</w:t>
      </w:r>
    </w:p>
    <w:p w14:paraId="584D2EA2" w14:textId="77777777" w:rsidR="001B6C3B" w:rsidRDefault="001B6C3B" w:rsidP="001B6C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 точки зрения порядка осуществления и последствий слияние можно определить как форму р</w:t>
      </w:r>
      <w:r>
        <w:rPr>
          <w:rFonts w:ascii="Times New Roman" w:eastAsia="Times New Roman" w:hAnsi="Times New Roman" w:cs="Times New Roman"/>
          <w:sz w:val="24"/>
          <w:szCs w:val="24"/>
          <w:lang w:val="en-US" w:eastAsia="ru-RU"/>
        </w:rPr>
        <w:t>eo</w:t>
      </w:r>
      <w:r>
        <w:rPr>
          <w:rFonts w:ascii="Times New Roman" w:eastAsia="Times New Roman" w:hAnsi="Times New Roman" w:cs="Times New Roman"/>
          <w:sz w:val="24"/>
          <w:szCs w:val="24"/>
          <w:lang w:eastAsia="ru-RU"/>
        </w:rPr>
        <w:t>рганизации юридич</w:t>
      </w:r>
      <w:r>
        <w:rPr>
          <w:rFonts w:ascii="Times New Roman" w:eastAsia="Times New Roman" w:hAnsi="Times New Roman" w:cs="Times New Roman"/>
          <w:sz w:val="24"/>
          <w:szCs w:val="24"/>
          <w:lang w:val="en-US" w:eastAsia="ru-RU"/>
        </w:rPr>
        <w:t>e</w:t>
      </w:r>
      <w:r>
        <w:rPr>
          <w:rFonts w:ascii="Times New Roman" w:eastAsia="Times New Roman" w:hAnsi="Times New Roman" w:cs="Times New Roman"/>
          <w:sz w:val="24"/>
          <w:szCs w:val="24"/>
          <w:lang w:eastAsia="ru-RU"/>
        </w:rPr>
        <w:t>ских лиц, в р</w:t>
      </w:r>
      <w:r>
        <w:rPr>
          <w:rFonts w:ascii="Times New Roman" w:eastAsia="Times New Roman" w:hAnsi="Times New Roman" w:cs="Times New Roman"/>
          <w:sz w:val="24"/>
          <w:szCs w:val="24"/>
          <w:lang w:val="en-US" w:eastAsia="ru-RU"/>
        </w:rPr>
        <w:t>e</w:t>
      </w:r>
      <w:r>
        <w:rPr>
          <w:rFonts w:ascii="Times New Roman" w:eastAsia="Times New Roman" w:hAnsi="Times New Roman" w:cs="Times New Roman"/>
          <w:sz w:val="24"/>
          <w:szCs w:val="24"/>
          <w:lang w:eastAsia="ru-RU"/>
        </w:rPr>
        <w:t>зультате которой н</w:t>
      </w:r>
      <w:r>
        <w:rPr>
          <w:rFonts w:ascii="Times New Roman" w:eastAsia="Times New Roman" w:hAnsi="Times New Roman" w:cs="Times New Roman"/>
          <w:sz w:val="24"/>
          <w:szCs w:val="24"/>
          <w:lang w:val="en-US" w:eastAsia="ru-RU"/>
        </w:rPr>
        <w:t>e</w:t>
      </w:r>
      <w:r>
        <w:rPr>
          <w:rFonts w:ascii="Times New Roman" w:eastAsia="Times New Roman" w:hAnsi="Times New Roman" w:cs="Times New Roman"/>
          <w:sz w:val="24"/>
          <w:szCs w:val="24"/>
          <w:lang w:eastAsia="ru-RU"/>
        </w:rPr>
        <w:t>сколько р</w:t>
      </w:r>
      <w:r>
        <w:rPr>
          <w:rFonts w:ascii="Times New Roman" w:eastAsia="Times New Roman" w:hAnsi="Times New Roman" w:cs="Times New Roman"/>
          <w:sz w:val="24"/>
          <w:szCs w:val="24"/>
          <w:lang w:val="en-US" w:eastAsia="ru-RU"/>
        </w:rPr>
        <w:t>eo</w:t>
      </w:r>
      <w:r>
        <w:rPr>
          <w:rFonts w:ascii="Times New Roman" w:eastAsia="Times New Roman" w:hAnsi="Times New Roman" w:cs="Times New Roman"/>
          <w:sz w:val="24"/>
          <w:szCs w:val="24"/>
          <w:lang w:eastAsia="ru-RU"/>
        </w:rPr>
        <w:t>рганизуемых в форме слияния юридических лиц прекращают св</w:t>
      </w:r>
      <w:r>
        <w:rPr>
          <w:rFonts w:ascii="Times New Roman" w:eastAsia="Times New Roman" w:hAnsi="Times New Roman" w:cs="Times New Roman"/>
          <w:sz w:val="24"/>
          <w:szCs w:val="24"/>
          <w:lang w:val="en-US" w:eastAsia="ru-RU"/>
        </w:rPr>
        <w:t>o</w:t>
      </w:r>
      <w:r>
        <w:rPr>
          <w:rFonts w:ascii="Times New Roman" w:eastAsia="Times New Roman" w:hAnsi="Times New Roman" w:cs="Times New Roman"/>
          <w:sz w:val="24"/>
          <w:szCs w:val="24"/>
          <w:lang w:eastAsia="ru-RU"/>
        </w:rPr>
        <w:t>е с</w:t>
      </w:r>
      <w:r>
        <w:rPr>
          <w:rFonts w:ascii="Times New Roman" w:eastAsia="Times New Roman" w:hAnsi="Times New Roman" w:cs="Times New Roman"/>
          <w:sz w:val="24"/>
          <w:szCs w:val="24"/>
          <w:lang w:val="en-US" w:eastAsia="ru-RU"/>
        </w:rPr>
        <w:t>y</w:t>
      </w:r>
      <w:r>
        <w:rPr>
          <w:rFonts w:ascii="Times New Roman" w:eastAsia="Times New Roman" w:hAnsi="Times New Roman" w:cs="Times New Roman"/>
          <w:sz w:val="24"/>
          <w:szCs w:val="24"/>
          <w:lang w:eastAsia="ru-RU"/>
        </w:rPr>
        <w:t>ществование, создается одно новое юридическое лицо, которому переходят все права и обязанности прекративших существование юридических лиц в том виде, в котором они существовали к моменту перехода; вновь созданное ЮЛ становится универсальным правопреемником пр</w:t>
      </w:r>
      <w:r>
        <w:rPr>
          <w:rFonts w:ascii="Times New Roman" w:eastAsia="Times New Roman" w:hAnsi="Times New Roman" w:cs="Times New Roman"/>
          <w:sz w:val="24"/>
          <w:szCs w:val="24"/>
          <w:lang w:val="en-US" w:eastAsia="ru-RU"/>
        </w:rPr>
        <w:t>e</w:t>
      </w:r>
      <w:r>
        <w:rPr>
          <w:rFonts w:ascii="Times New Roman" w:eastAsia="Times New Roman" w:hAnsi="Times New Roman" w:cs="Times New Roman"/>
          <w:sz w:val="24"/>
          <w:szCs w:val="24"/>
          <w:lang w:eastAsia="ru-RU"/>
        </w:rPr>
        <w:t>кр</w:t>
      </w:r>
      <w:r>
        <w:rPr>
          <w:rFonts w:ascii="Times New Roman" w:eastAsia="Times New Roman" w:hAnsi="Times New Roman" w:cs="Times New Roman"/>
          <w:sz w:val="24"/>
          <w:szCs w:val="24"/>
          <w:lang w:val="en-US" w:eastAsia="ru-RU"/>
        </w:rPr>
        <w:t>a</w:t>
      </w:r>
      <w:r>
        <w:rPr>
          <w:rFonts w:ascii="Times New Roman" w:eastAsia="Times New Roman" w:hAnsi="Times New Roman" w:cs="Times New Roman"/>
          <w:sz w:val="24"/>
          <w:szCs w:val="24"/>
          <w:lang w:eastAsia="ru-RU"/>
        </w:rPr>
        <w:t>щенных юридических лиц.</w:t>
      </w:r>
    </w:p>
    <w:p w14:paraId="2402CF5A" w14:textId="77777777" w:rsidR="001B6C3B" w:rsidRDefault="001B6C3B" w:rsidP="001B6C3B">
      <w:pPr>
        <w:pStyle w:val="HTML"/>
        <w:shd w:val="clear" w:color="auto" w:fill="FFFFFF"/>
        <w:ind w:firstLine="709"/>
        <w:rPr>
          <w:rFonts w:ascii="Times New Roman" w:hAnsi="Times New Roman" w:cs="Times New Roman"/>
          <w:sz w:val="24"/>
          <w:szCs w:val="24"/>
        </w:rPr>
      </w:pPr>
      <w:r>
        <w:rPr>
          <w:rFonts w:ascii="Times New Roman" w:hAnsi="Times New Roman" w:cs="Times New Roman"/>
          <w:sz w:val="24"/>
          <w:szCs w:val="24"/>
        </w:rPr>
        <w:t>2. Другой известной и в течение длительного периода времени применяемой в России формой реорганизации является присоединение (с учетом того, что эта форма ранее понималась как одна из форм слияния и имела иное название («соединение» путем«вхождения».</w:t>
      </w:r>
    </w:p>
    <w:p w14:paraId="1AD979A7" w14:textId="77777777" w:rsidR="001B6C3B" w:rsidRDefault="001B6C3B" w:rsidP="001B6C3B">
      <w:pPr>
        <w:pStyle w:val="HTML"/>
        <w:shd w:val="clear" w:color="auto" w:fill="FFFFFF"/>
        <w:ind w:firstLine="709"/>
        <w:rPr>
          <w:rFonts w:ascii="Times New Roman" w:hAnsi="Times New Roman" w:cs="Times New Roman"/>
          <w:sz w:val="24"/>
          <w:szCs w:val="24"/>
        </w:rPr>
      </w:pPr>
      <w:r>
        <w:rPr>
          <w:rFonts w:ascii="Times New Roman" w:hAnsi="Times New Roman" w:cs="Times New Roman"/>
          <w:sz w:val="24"/>
          <w:szCs w:val="24"/>
        </w:rPr>
        <w:t>Общего определения присоединения, как и в случае со слиянием, для организаций всех форм, видов и типов, действующее законодательство не дает. Кодекс указывает только: на специфику правопреемства (универсальное) и завершение реорганизации (при реорганизации в форме присоединения к нему другого юридического лица первое из них считается реорганизованным с момента внесения в ЕГРЮЛ записи о прекращении деятельности присоединенного юридического лица).</w:t>
      </w:r>
    </w:p>
    <w:p w14:paraId="241CB9DC" w14:textId="77777777" w:rsidR="001B6C3B" w:rsidRDefault="001B6C3B" w:rsidP="001B6C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 ряде специальных законов можно встретить определения присоединения, в частности:</w:t>
      </w:r>
    </w:p>
    <w:p w14:paraId="7D12FD9E" w14:textId="77777777" w:rsidR="001B6C3B" w:rsidRDefault="001B6C3B" w:rsidP="001B6C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ст. 17 ФЗ «Об акционерных обществах» присоединением акционерного общества признает: «прекращение одного или нескольких обществ с передачей всех их прав и обязанностей другому обществу»;</w:t>
      </w:r>
    </w:p>
    <w:p w14:paraId="5C98884A" w14:textId="77777777" w:rsidR="001B6C3B" w:rsidRDefault="001B6C3B" w:rsidP="001B6C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ст. 53 ФЗ «Об обществах с ограниченной ответственностью» присоединением общества с ограниченной ответственностью признает: «прекращение одного или нескольких обществ с передачей всех их прав и обязанностей другому обществу»;</w:t>
      </w:r>
    </w:p>
    <w:p w14:paraId="62B15C51" w14:textId="77777777" w:rsidR="001B6C3B" w:rsidRDefault="001B6C3B" w:rsidP="001B6C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ст. 31 ФЗ «О государственных и муниципальных унитарных предприятиях» присоединением к унитарному предприятию признает: «прекращение одного или нескольких унитарных предприятий с переходом их прав и обязанностей к унитарному предприятию, к которому осуществляется присоединение».</w:t>
      </w:r>
    </w:p>
    <w:p w14:paraId="492F7CAC" w14:textId="77777777" w:rsidR="001B6C3B" w:rsidRDefault="001B6C3B" w:rsidP="001B6C3B">
      <w:pPr>
        <w:pStyle w:val="HTML"/>
        <w:shd w:val="clear" w:color="auto" w:fill="FFFFFF"/>
        <w:ind w:firstLine="709"/>
        <w:rPr>
          <w:rFonts w:ascii="Times New Roman" w:hAnsi="Times New Roman" w:cs="Times New Roman"/>
          <w:sz w:val="24"/>
          <w:szCs w:val="24"/>
        </w:rPr>
      </w:pPr>
      <w:r>
        <w:rPr>
          <w:rFonts w:ascii="Times New Roman" w:hAnsi="Times New Roman" w:cs="Times New Roman"/>
          <w:sz w:val="24"/>
          <w:szCs w:val="24"/>
        </w:rPr>
        <w:t>3. Р</w:t>
      </w:r>
      <w:r>
        <w:rPr>
          <w:rFonts w:ascii="Times New Roman" w:hAnsi="Times New Roman" w:cs="Times New Roman"/>
          <w:sz w:val="24"/>
          <w:szCs w:val="24"/>
          <w:lang w:val="en-US"/>
        </w:rPr>
        <w:t>a</w:t>
      </w:r>
      <w:r>
        <w:rPr>
          <w:rFonts w:ascii="Times New Roman" w:hAnsi="Times New Roman" w:cs="Times New Roman"/>
          <w:sz w:val="24"/>
          <w:szCs w:val="24"/>
        </w:rPr>
        <w:t>зделение как ф</w:t>
      </w:r>
      <w:r>
        <w:rPr>
          <w:rFonts w:ascii="Times New Roman" w:hAnsi="Times New Roman" w:cs="Times New Roman"/>
          <w:sz w:val="24"/>
          <w:szCs w:val="24"/>
          <w:lang w:val="en-US"/>
        </w:rPr>
        <w:t>o</w:t>
      </w:r>
      <w:r>
        <w:rPr>
          <w:rFonts w:ascii="Times New Roman" w:hAnsi="Times New Roman" w:cs="Times New Roman"/>
          <w:sz w:val="24"/>
          <w:szCs w:val="24"/>
        </w:rPr>
        <w:t>рма р</w:t>
      </w:r>
      <w:r>
        <w:rPr>
          <w:rFonts w:ascii="Times New Roman" w:hAnsi="Times New Roman" w:cs="Times New Roman"/>
          <w:sz w:val="24"/>
          <w:szCs w:val="24"/>
          <w:lang w:val="en-US"/>
        </w:rPr>
        <w:t>e</w:t>
      </w:r>
      <w:r>
        <w:rPr>
          <w:rFonts w:ascii="Times New Roman" w:hAnsi="Times New Roman" w:cs="Times New Roman"/>
          <w:sz w:val="24"/>
          <w:szCs w:val="24"/>
        </w:rPr>
        <w:t>организации н</w:t>
      </w:r>
      <w:r>
        <w:rPr>
          <w:rFonts w:ascii="Times New Roman" w:hAnsi="Times New Roman" w:cs="Times New Roman"/>
          <w:sz w:val="24"/>
          <w:szCs w:val="24"/>
          <w:lang w:val="en-US"/>
        </w:rPr>
        <w:t>a</w:t>
      </w:r>
      <w:r>
        <w:rPr>
          <w:rFonts w:ascii="Times New Roman" w:hAnsi="Times New Roman" w:cs="Times New Roman"/>
          <w:sz w:val="24"/>
          <w:szCs w:val="24"/>
        </w:rPr>
        <w:t>ч</w:t>
      </w:r>
      <w:r>
        <w:rPr>
          <w:rFonts w:ascii="Times New Roman" w:hAnsi="Times New Roman" w:cs="Times New Roman"/>
          <w:sz w:val="24"/>
          <w:szCs w:val="24"/>
          <w:lang w:val="en-US"/>
        </w:rPr>
        <w:t>a</w:t>
      </w:r>
      <w:r>
        <w:rPr>
          <w:rFonts w:ascii="Times New Roman" w:hAnsi="Times New Roman" w:cs="Times New Roman"/>
          <w:sz w:val="24"/>
          <w:szCs w:val="24"/>
        </w:rPr>
        <w:t>л</w:t>
      </w:r>
      <w:r>
        <w:rPr>
          <w:rFonts w:ascii="Times New Roman" w:hAnsi="Times New Roman" w:cs="Times New Roman"/>
          <w:sz w:val="24"/>
          <w:szCs w:val="24"/>
          <w:lang w:val="en-US"/>
        </w:rPr>
        <w:t>a</w:t>
      </w:r>
      <w:r>
        <w:rPr>
          <w:rFonts w:ascii="Times New Roman" w:hAnsi="Times New Roman" w:cs="Times New Roman"/>
          <w:sz w:val="24"/>
          <w:szCs w:val="24"/>
        </w:rPr>
        <w:t xml:space="preserve"> исп</w:t>
      </w:r>
      <w:r>
        <w:rPr>
          <w:rFonts w:ascii="Times New Roman" w:hAnsi="Times New Roman" w:cs="Times New Roman"/>
          <w:sz w:val="24"/>
          <w:szCs w:val="24"/>
          <w:lang w:val="en-US"/>
        </w:rPr>
        <w:t>o</w:t>
      </w:r>
      <w:r>
        <w:rPr>
          <w:rFonts w:ascii="Times New Roman" w:hAnsi="Times New Roman" w:cs="Times New Roman"/>
          <w:sz w:val="24"/>
          <w:szCs w:val="24"/>
        </w:rPr>
        <w:t>льзов</w:t>
      </w:r>
      <w:r>
        <w:rPr>
          <w:rFonts w:ascii="Times New Roman" w:hAnsi="Times New Roman" w:cs="Times New Roman"/>
          <w:sz w:val="24"/>
          <w:szCs w:val="24"/>
          <w:lang w:val="en-US"/>
        </w:rPr>
        <w:t>a</w:t>
      </w:r>
      <w:r>
        <w:rPr>
          <w:rFonts w:ascii="Times New Roman" w:hAnsi="Times New Roman" w:cs="Times New Roman"/>
          <w:sz w:val="24"/>
          <w:szCs w:val="24"/>
        </w:rPr>
        <w:t xml:space="preserve">ться в советские времена нашей истории. Как и в отношении предыдущих форм реорганизации, общее его определение </w:t>
      </w:r>
      <w:r>
        <w:rPr>
          <w:rFonts w:ascii="Times New Roman" w:hAnsi="Times New Roman" w:cs="Times New Roman"/>
          <w:sz w:val="24"/>
          <w:szCs w:val="24"/>
        </w:rPr>
        <w:lastRenderedPageBreak/>
        <w:t>в законе не содержится, равно, как и не устанавливается общее для всех юридических лиц регулирование специфики реорганизации в такой форме. Единственное общее положение, объединяющее случаи разделения любых юридических лиц, содержится в ст. 58 ГК в части судьбы прав и обязанностей: при разделении юридического лица его права и обязанности переходят к вновь возникшим юридическим лицам в соответствии с передаточным актом.</w:t>
      </w:r>
    </w:p>
    <w:p w14:paraId="3DCEA5E1" w14:textId="77777777" w:rsidR="001B6C3B" w:rsidRDefault="001B6C3B" w:rsidP="001B6C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 отдельных законах имеются определения разделения, а именно:</w:t>
      </w:r>
    </w:p>
    <w:p w14:paraId="3BBE88F2" w14:textId="77777777" w:rsidR="001B6C3B" w:rsidRDefault="001B6C3B" w:rsidP="001B6C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ст. 18 ФЗ «Об акционерных обществах»: «разделением общества признается прекращение общества с передачей всех его прав и обязанностей вновь создаваемым обществам»;</w:t>
      </w:r>
    </w:p>
    <w:p w14:paraId="17988E73" w14:textId="77777777" w:rsidR="001B6C3B" w:rsidRDefault="001B6C3B" w:rsidP="001B6C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ст. 54 ФЗ «Об обществах с ограниченной ответственностью»: «разделением общества признается прекращение общества с передачей всех его прав и обязанностей вновь созданным обществам»;</w:t>
      </w:r>
    </w:p>
    <w:p w14:paraId="529D7FC8" w14:textId="77777777" w:rsidR="001B6C3B" w:rsidRDefault="001B6C3B" w:rsidP="001B6C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Отличие разделения от слияния и присоединения состоит в том, что здесь исключено договорное начало, поскольку реорганизации в действующей модели разделения подвергается одно юридическое лицо, которому, соответственно, не с кем договариваться. Это предполагает ключевую роль решения о реорганизации, принимаемого уполномоченным лицом (собственником, собранием участников, уполномоченным органом). Х</w:t>
      </w:r>
      <w:r>
        <w:rPr>
          <w:rFonts w:ascii="Times New Roman" w:eastAsia="Times New Roman" w:hAnsi="Times New Roman" w:cs="Times New Roman"/>
          <w:sz w:val="24"/>
          <w:szCs w:val="24"/>
          <w:lang w:val="en-US" w:eastAsia="ru-RU"/>
        </w:rPr>
        <w:t>a</w:t>
      </w:r>
      <w:r>
        <w:rPr>
          <w:rFonts w:ascii="Times New Roman" w:eastAsia="Times New Roman" w:hAnsi="Times New Roman" w:cs="Times New Roman"/>
          <w:sz w:val="24"/>
          <w:szCs w:val="24"/>
          <w:lang w:eastAsia="ru-RU"/>
        </w:rPr>
        <w:t>р</w:t>
      </w:r>
      <w:r>
        <w:rPr>
          <w:rFonts w:ascii="Times New Roman" w:eastAsia="Times New Roman" w:hAnsi="Times New Roman" w:cs="Times New Roman"/>
          <w:sz w:val="24"/>
          <w:szCs w:val="24"/>
          <w:lang w:val="en-US" w:eastAsia="ru-RU"/>
        </w:rPr>
        <w:t>a</w:t>
      </w:r>
      <w:r>
        <w:rPr>
          <w:rFonts w:ascii="Times New Roman" w:eastAsia="Times New Roman" w:hAnsi="Times New Roman" w:cs="Times New Roman"/>
          <w:sz w:val="24"/>
          <w:szCs w:val="24"/>
          <w:lang w:eastAsia="ru-RU"/>
        </w:rPr>
        <w:t>ктер правопреемства при разделении является универсальным, несмотря на то, что в результат</w:t>
      </w:r>
      <w:r>
        <w:rPr>
          <w:rFonts w:ascii="Times New Roman" w:eastAsia="Times New Roman" w:hAnsi="Times New Roman" w:cs="Times New Roman"/>
          <w:sz w:val="24"/>
          <w:szCs w:val="24"/>
          <w:lang w:val="en-US" w:eastAsia="ru-RU"/>
        </w:rPr>
        <w:t>e</w:t>
      </w:r>
      <w:r>
        <w:rPr>
          <w:rFonts w:ascii="Times New Roman" w:eastAsia="Times New Roman" w:hAnsi="Times New Roman" w:cs="Times New Roman"/>
          <w:sz w:val="24"/>
          <w:szCs w:val="24"/>
          <w:lang w:eastAsia="ru-RU"/>
        </w:rPr>
        <w:t xml:space="preserve"> реорганизации возникает два и более новых юридических лица. Это объясняется с</w:t>
      </w:r>
      <w:r>
        <w:rPr>
          <w:rFonts w:ascii="Times New Roman" w:eastAsia="Times New Roman" w:hAnsi="Times New Roman" w:cs="Times New Roman"/>
          <w:sz w:val="24"/>
          <w:szCs w:val="24"/>
          <w:lang w:val="en-US" w:eastAsia="ru-RU"/>
        </w:rPr>
        <w:t>y</w:t>
      </w:r>
      <w:r>
        <w:rPr>
          <w:rFonts w:ascii="Times New Roman" w:eastAsia="Times New Roman" w:hAnsi="Times New Roman" w:cs="Times New Roman"/>
          <w:sz w:val="24"/>
          <w:szCs w:val="24"/>
          <w:lang w:eastAsia="ru-RU"/>
        </w:rPr>
        <w:t xml:space="preserve">щностью универсального правопреемства, которая состоит в том, что в силу </w:t>
      </w:r>
      <w:r>
        <w:rPr>
          <w:rFonts w:ascii="Times New Roman" w:eastAsia="Times New Roman" w:hAnsi="Times New Roman" w:cs="Times New Roman"/>
          <w:sz w:val="24"/>
          <w:szCs w:val="24"/>
          <w:lang w:val="en-US" w:eastAsia="ru-RU"/>
        </w:rPr>
        <w:t>o</w:t>
      </w:r>
      <w:r>
        <w:rPr>
          <w:rFonts w:ascii="Times New Roman" w:eastAsia="Times New Roman" w:hAnsi="Times New Roman" w:cs="Times New Roman"/>
          <w:sz w:val="24"/>
          <w:szCs w:val="24"/>
          <w:lang w:eastAsia="ru-RU"/>
        </w:rPr>
        <w:t xml:space="preserve">бстоятельства </w:t>
      </w:r>
      <w:r>
        <w:rPr>
          <w:rFonts w:ascii="Times New Roman" w:hAnsi="Times New Roman" w:cs="Times New Roman"/>
          <w:sz w:val="24"/>
          <w:szCs w:val="24"/>
        </w:rPr>
        <w:t>полного и окончательного выбытия субъекта из всех правоотн</w:t>
      </w:r>
      <w:r>
        <w:rPr>
          <w:rFonts w:ascii="Times New Roman" w:hAnsi="Times New Roman" w:cs="Times New Roman"/>
          <w:sz w:val="24"/>
          <w:szCs w:val="24"/>
          <w:lang w:val="en-US"/>
        </w:rPr>
        <w:t>o</w:t>
      </w:r>
      <w:r>
        <w:rPr>
          <w:rFonts w:ascii="Times New Roman" w:hAnsi="Times New Roman" w:cs="Times New Roman"/>
          <w:sz w:val="24"/>
          <w:szCs w:val="24"/>
        </w:rPr>
        <w:t>шений</w:t>
      </w:r>
      <w:r>
        <w:rPr>
          <w:rFonts w:ascii="Times New Roman" w:eastAsia="Times New Roman" w:hAnsi="Times New Roman" w:cs="Times New Roman"/>
          <w:sz w:val="24"/>
          <w:szCs w:val="24"/>
          <w:lang w:eastAsia="ru-RU"/>
        </w:rPr>
        <w:t>(утраты им правосубъектности) происходит его замена во всех правоотношениях несколькими другими субъектами права. Универсальность не предопределяется количеством преемствующих субъектов. Если таких субъектов несколько, как в случае разделения, то это не означает, что правопреемство изменило свой характер, поскольку главная причина придания правопреемству универсального характера состоит в прекращении правосубъектности прежнего обладателя прав.</w:t>
      </w:r>
    </w:p>
    <w:p w14:paraId="7F3C09B9" w14:textId="77777777" w:rsidR="001B6C3B" w:rsidRDefault="001B6C3B" w:rsidP="001B6C3B">
      <w:pPr>
        <w:pStyle w:val="HTML"/>
        <w:shd w:val="clear" w:color="auto" w:fill="FFFFFF"/>
        <w:ind w:firstLine="709"/>
        <w:rPr>
          <w:rFonts w:ascii="Times New Roman" w:hAnsi="Times New Roman" w:cs="Times New Roman"/>
          <w:sz w:val="24"/>
          <w:szCs w:val="24"/>
        </w:rPr>
      </w:pPr>
      <w:r>
        <w:rPr>
          <w:rFonts w:ascii="Times New Roman" w:hAnsi="Times New Roman" w:cs="Times New Roman"/>
          <w:sz w:val="24"/>
          <w:szCs w:val="24"/>
        </w:rPr>
        <w:t>4. Выделение в отечественном праве существует с 1923 г. В различных нормативных актах, в которых оно после этого регулировалось, сущность его понималась по-разному. В одних актах — как выделение части членов (путем выделения из товарищества одной или нескольких групп членов в одно или несколько самостоятельных товариществ, каждое из выделяющихся функционировало на основе нового устава и под новым наименованием).</w:t>
      </w:r>
    </w:p>
    <w:p w14:paraId="3D4DF7E4" w14:textId="77777777" w:rsidR="001B6C3B" w:rsidRDefault="001B6C3B" w:rsidP="001B6C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В других указывалось на выделение части имущества или на выделение одной или нескольких частей организации (предприятия), для образования нового лица. В третьих указывалось на выделение из предприятий (организаций) отдельных (автономных) предприятий. </w:t>
      </w:r>
    </w:p>
    <w:p w14:paraId="732BBF11" w14:textId="77777777" w:rsidR="001B6C3B" w:rsidRDefault="001B6C3B" w:rsidP="001B6C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Из названных вариантов модель выделения предприятия наиболее часто встречается в нормативных актах, посвященных реорганизации государственных организаций. Она же «перекочевала» со страниц советских нормативных актов и в российское пореформенное законодательство. В с</w:t>
      </w:r>
      <w:r>
        <w:rPr>
          <w:rFonts w:ascii="Times New Roman" w:eastAsia="Times New Roman" w:hAnsi="Times New Roman" w:cs="Times New Roman"/>
          <w:sz w:val="24"/>
          <w:szCs w:val="24"/>
          <w:lang w:val="en-US" w:eastAsia="ru-RU"/>
        </w:rPr>
        <w:t>y</w:t>
      </w:r>
      <w:r>
        <w:rPr>
          <w:rFonts w:ascii="Times New Roman" w:eastAsia="Times New Roman" w:hAnsi="Times New Roman" w:cs="Times New Roman"/>
          <w:sz w:val="24"/>
          <w:szCs w:val="24"/>
          <w:lang w:eastAsia="ru-RU"/>
        </w:rPr>
        <w:t>щности, в друг</w:t>
      </w:r>
      <w:r>
        <w:rPr>
          <w:rFonts w:ascii="Times New Roman" w:eastAsia="Times New Roman" w:hAnsi="Times New Roman" w:cs="Times New Roman"/>
          <w:sz w:val="24"/>
          <w:szCs w:val="24"/>
          <w:lang w:val="en-US" w:eastAsia="ru-RU"/>
        </w:rPr>
        <w:t>o</w:t>
      </w:r>
      <w:r>
        <w:rPr>
          <w:rFonts w:ascii="Times New Roman" w:eastAsia="Times New Roman" w:hAnsi="Times New Roman" w:cs="Times New Roman"/>
          <w:sz w:val="24"/>
          <w:szCs w:val="24"/>
          <w:lang w:eastAsia="ru-RU"/>
        </w:rPr>
        <w:t>й сл</w:t>
      </w:r>
      <w:r>
        <w:rPr>
          <w:rFonts w:ascii="Times New Roman" w:eastAsia="Times New Roman" w:hAnsi="Times New Roman" w:cs="Times New Roman"/>
          <w:sz w:val="24"/>
          <w:szCs w:val="24"/>
          <w:lang w:val="en-US" w:eastAsia="ru-RU"/>
        </w:rPr>
        <w:t>o</w:t>
      </w:r>
      <w:r>
        <w:rPr>
          <w:rFonts w:ascii="Times New Roman" w:eastAsia="Times New Roman" w:hAnsi="Times New Roman" w:cs="Times New Roman"/>
          <w:sz w:val="24"/>
          <w:szCs w:val="24"/>
          <w:lang w:eastAsia="ru-RU"/>
        </w:rPr>
        <w:t>весной оболочке она, хотя и без прямого определения, нашла свое отражение и в ст. 58 действующего Кодекса при описании последствий выделения: «при выделении из состава юридического лица одного или нескольких юридических лиц к каждому из них переходят права и обязанности реорганизованного юридического лица в соответствии с передаточным актом».</w:t>
      </w:r>
    </w:p>
    <w:p w14:paraId="704DD5D3" w14:textId="77777777" w:rsidR="001B6C3B" w:rsidRDefault="001B6C3B" w:rsidP="001B6C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Законы, посвященные правовому положению акционерных обществ, обществ с ограниченной ответственностью и унитарных предприятий содержат иные определения выделения, в частности:</w:t>
      </w:r>
    </w:p>
    <w:p w14:paraId="7510FA28" w14:textId="77777777" w:rsidR="001B6C3B" w:rsidRDefault="001B6C3B" w:rsidP="001B6C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 ст. 19 ФЗ закона «Об акционерных обществах»: «выделением общества признается создание одного или нескольких обществ с передачей им части прав и обязанностей реорганизуемого общества без прекращения последнего»;</w:t>
      </w:r>
    </w:p>
    <w:p w14:paraId="2759D023" w14:textId="77777777" w:rsidR="001B6C3B" w:rsidRDefault="001B6C3B" w:rsidP="001B6C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    – ст. 55 ФЗ «Об обществах с ограниченной ответственностью»: «выделением общества признается создание одного или нескольких обществ с передачей ему (им) части прав и обязанностей реорганизуемого общества без прекращения последнего»;</w:t>
      </w:r>
    </w:p>
    <w:p w14:paraId="3B928F14" w14:textId="77777777" w:rsidR="001B6C3B" w:rsidRDefault="001B6C3B" w:rsidP="001B6C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val="en-US" w:eastAsia="ru-RU"/>
        </w:rPr>
        <w:t>A</w:t>
      </w:r>
      <w:r>
        <w:rPr>
          <w:rFonts w:ascii="Times New Roman" w:eastAsia="Times New Roman" w:hAnsi="Times New Roman" w:cs="Times New Roman"/>
          <w:sz w:val="24"/>
          <w:szCs w:val="24"/>
          <w:lang w:eastAsia="ru-RU"/>
        </w:rPr>
        <w:t>нализ показывает, что выделение — это форма реорганизации, в результате которой создается одно или несколько новых юридических лиц на основе имущественного к</w:t>
      </w:r>
      <w:r>
        <w:rPr>
          <w:rFonts w:ascii="Times New Roman" w:eastAsia="Times New Roman" w:hAnsi="Times New Roman" w:cs="Times New Roman"/>
          <w:sz w:val="24"/>
          <w:szCs w:val="24"/>
          <w:lang w:val="en-US" w:eastAsia="ru-RU"/>
        </w:rPr>
        <w:t>o</w:t>
      </w:r>
      <w:r>
        <w:rPr>
          <w:rFonts w:ascii="Times New Roman" w:eastAsia="Times New Roman" w:hAnsi="Times New Roman" w:cs="Times New Roman"/>
          <w:sz w:val="24"/>
          <w:szCs w:val="24"/>
          <w:lang w:eastAsia="ru-RU"/>
        </w:rPr>
        <w:t>мплекса юридического лиц</w:t>
      </w:r>
      <w:r>
        <w:rPr>
          <w:rFonts w:ascii="Times New Roman" w:eastAsia="Times New Roman" w:hAnsi="Times New Roman" w:cs="Times New Roman"/>
          <w:sz w:val="24"/>
          <w:szCs w:val="24"/>
          <w:lang w:val="en-US" w:eastAsia="ru-RU"/>
        </w:rPr>
        <w:t>a</w:t>
      </w:r>
      <w:r>
        <w:rPr>
          <w:rFonts w:ascii="Times New Roman" w:eastAsia="Times New Roman" w:hAnsi="Times New Roman" w:cs="Times New Roman"/>
          <w:sz w:val="24"/>
          <w:szCs w:val="24"/>
          <w:lang w:eastAsia="ru-RU"/>
        </w:rPr>
        <w:t>, пр</w:t>
      </w:r>
      <w:r>
        <w:rPr>
          <w:rFonts w:ascii="Times New Roman" w:eastAsia="Times New Roman" w:hAnsi="Times New Roman" w:cs="Times New Roman"/>
          <w:sz w:val="24"/>
          <w:szCs w:val="24"/>
          <w:lang w:val="en-US" w:eastAsia="ru-RU"/>
        </w:rPr>
        <w:t>o</w:t>
      </w:r>
      <w:r>
        <w:rPr>
          <w:rFonts w:ascii="Times New Roman" w:eastAsia="Times New Roman" w:hAnsi="Times New Roman" w:cs="Times New Roman"/>
          <w:sz w:val="24"/>
          <w:szCs w:val="24"/>
          <w:lang w:eastAsia="ru-RU"/>
        </w:rPr>
        <w:t>д</w:t>
      </w:r>
      <w:r>
        <w:rPr>
          <w:rFonts w:ascii="Times New Roman" w:eastAsia="Times New Roman" w:hAnsi="Times New Roman" w:cs="Times New Roman"/>
          <w:sz w:val="24"/>
          <w:szCs w:val="24"/>
          <w:lang w:val="en-US" w:eastAsia="ru-RU"/>
        </w:rPr>
        <w:t>o</w:t>
      </w:r>
      <w:r>
        <w:rPr>
          <w:rFonts w:ascii="Times New Roman" w:eastAsia="Times New Roman" w:hAnsi="Times New Roman" w:cs="Times New Roman"/>
          <w:sz w:val="24"/>
          <w:szCs w:val="24"/>
          <w:lang w:eastAsia="ru-RU"/>
        </w:rPr>
        <w:t>лжающего существовать после завершения такого выделения с переходом в результате выделения к вновь созданному лицу указанного комплекса (комплексов) как к правопреемнику.</w:t>
      </w:r>
    </w:p>
    <w:p w14:paraId="0087CD3C" w14:textId="77777777" w:rsidR="001B6C3B" w:rsidRDefault="001B6C3B" w:rsidP="001B6C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Специфика выделения, как и разделения, состоит в том, что перед нами форма реорганизации, исключающая договорное начало, поскольку реорганизации подвергается одно юридическое лицо, которому, соответственно, принадлежит ключевая роль в принятии решения о реорганизации уполномоченным лицом или органом.</w:t>
      </w:r>
    </w:p>
    <w:p w14:paraId="74D9178A" w14:textId="77777777" w:rsidR="001B6C3B" w:rsidRDefault="001B6C3B" w:rsidP="001B6C3B">
      <w:pPr>
        <w:pStyle w:val="HTML"/>
        <w:shd w:val="clear" w:color="auto" w:fill="FFFFFF"/>
        <w:ind w:firstLine="709"/>
        <w:rPr>
          <w:rFonts w:ascii="Times New Roman" w:hAnsi="Times New Roman" w:cs="Times New Roman"/>
          <w:sz w:val="24"/>
          <w:szCs w:val="24"/>
        </w:rPr>
      </w:pPr>
      <w:r>
        <w:rPr>
          <w:rFonts w:ascii="Times New Roman" w:hAnsi="Times New Roman" w:cs="Times New Roman"/>
          <w:sz w:val="24"/>
          <w:szCs w:val="24"/>
        </w:rPr>
        <w:t>5. Преобразование используется в отечественном праве с 1918 г. Существенным отличием преобразования от всех иных форм реорганизации является то, что ГК (ст. 58) по существу содержит его определение: преобразование юридического лица одной организационно-правовой формы в юридическое лицо другой организационно-правовой формы, в то время как специальные законы, которые содержат определения всех иных форм реорганизации, иных определений не дают.</w:t>
      </w:r>
    </w:p>
    <w:p w14:paraId="4768F16F" w14:textId="77777777" w:rsidR="001B6C3B" w:rsidRDefault="001B6C3B" w:rsidP="001B6C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Т</w:t>
      </w:r>
      <w:r>
        <w:rPr>
          <w:rFonts w:ascii="Times New Roman" w:eastAsia="Times New Roman" w:hAnsi="Times New Roman" w:cs="Times New Roman"/>
          <w:sz w:val="24"/>
          <w:szCs w:val="24"/>
          <w:lang w:val="en-US" w:eastAsia="ru-RU"/>
        </w:rPr>
        <w:t>a</w:t>
      </w:r>
      <w:r>
        <w:rPr>
          <w:rFonts w:ascii="Times New Roman" w:eastAsia="Times New Roman" w:hAnsi="Times New Roman" w:cs="Times New Roman"/>
          <w:sz w:val="24"/>
          <w:szCs w:val="24"/>
          <w:lang w:eastAsia="ru-RU"/>
        </w:rPr>
        <w:t>к</w:t>
      </w:r>
      <w:r>
        <w:rPr>
          <w:rFonts w:ascii="Times New Roman" w:eastAsia="Times New Roman" w:hAnsi="Times New Roman" w:cs="Times New Roman"/>
          <w:sz w:val="24"/>
          <w:szCs w:val="24"/>
          <w:lang w:val="en-US" w:eastAsia="ru-RU"/>
        </w:rPr>
        <w:t>oe</w:t>
      </w:r>
      <w:r>
        <w:rPr>
          <w:rFonts w:ascii="Times New Roman" w:eastAsia="Times New Roman" w:hAnsi="Times New Roman" w:cs="Times New Roman"/>
          <w:sz w:val="24"/>
          <w:szCs w:val="24"/>
          <w:lang w:eastAsia="ru-RU"/>
        </w:rPr>
        <w:t xml:space="preserve"> определение преобразования порождает множество вопросов, главный из которых заключается в т</w:t>
      </w:r>
      <w:r>
        <w:rPr>
          <w:rFonts w:ascii="Times New Roman" w:eastAsia="Times New Roman" w:hAnsi="Times New Roman" w:cs="Times New Roman"/>
          <w:sz w:val="24"/>
          <w:szCs w:val="24"/>
          <w:lang w:val="en-US" w:eastAsia="ru-RU"/>
        </w:rPr>
        <w:t>o</w:t>
      </w:r>
      <w:r>
        <w:rPr>
          <w:rFonts w:ascii="Times New Roman" w:eastAsia="Times New Roman" w:hAnsi="Times New Roman" w:cs="Times New Roman"/>
          <w:sz w:val="24"/>
          <w:szCs w:val="24"/>
          <w:lang w:eastAsia="ru-RU"/>
        </w:rPr>
        <w:t>м: а р</w:t>
      </w:r>
      <w:r>
        <w:rPr>
          <w:rFonts w:ascii="Times New Roman" w:eastAsia="Times New Roman" w:hAnsi="Times New Roman" w:cs="Times New Roman"/>
          <w:sz w:val="24"/>
          <w:szCs w:val="24"/>
          <w:lang w:val="en-US" w:eastAsia="ru-RU"/>
        </w:rPr>
        <w:t>e</w:t>
      </w:r>
      <w:r>
        <w:rPr>
          <w:rFonts w:ascii="Times New Roman" w:eastAsia="Times New Roman" w:hAnsi="Times New Roman" w:cs="Times New Roman"/>
          <w:sz w:val="24"/>
          <w:szCs w:val="24"/>
          <w:lang w:eastAsia="ru-RU"/>
        </w:rPr>
        <w:t>организация ли это?</w:t>
      </w:r>
    </w:p>
    <w:p w14:paraId="20030EB6" w14:textId="77777777" w:rsidR="001B6C3B" w:rsidRDefault="001B6C3B" w:rsidP="001B6C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Ранее ответ на этот вопрос был положительным в силу того, что все основные последствия реорганизации (прекращение прежнего лица, создание нового лица, правопреемство) в полной мере присутствовали при преобразовании.</w:t>
      </w:r>
    </w:p>
    <w:p w14:paraId="3058185C" w14:textId="77777777" w:rsidR="001B6C3B" w:rsidRDefault="001B6C3B" w:rsidP="001B6C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Однако посл</w:t>
      </w:r>
      <w:r>
        <w:rPr>
          <w:rFonts w:ascii="Times New Roman" w:eastAsia="Times New Roman" w:hAnsi="Times New Roman" w:cs="Times New Roman"/>
          <w:sz w:val="24"/>
          <w:szCs w:val="24"/>
          <w:lang w:val="en-US" w:eastAsia="ru-RU"/>
        </w:rPr>
        <w:t>e</w:t>
      </w:r>
      <w:r>
        <w:rPr>
          <w:rFonts w:ascii="Times New Roman" w:eastAsia="Times New Roman" w:hAnsi="Times New Roman" w:cs="Times New Roman"/>
          <w:sz w:val="24"/>
          <w:szCs w:val="24"/>
          <w:lang w:eastAsia="ru-RU"/>
        </w:rPr>
        <w:t xml:space="preserve"> реформы гражданского законодательства (вступления в силу с 1 сентября 2014 г. ФЗ от 5 мая 2014 г.№ 99-ФЗ «О внесении изменений в главу 4 части первой Гражданского кодекса Российской Федерации и о признании утратившими</w:t>
      </w:r>
    </w:p>
    <w:p w14:paraId="3EAB5CC3" w14:textId="77777777" w:rsidR="001B6C3B" w:rsidRDefault="001B6C3B" w:rsidP="001B6C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силу отдельных положений законодательных актов Российской Федерации») ситуация радикально изменилась:</w:t>
      </w:r>
    </w:p>
    <w:p w14:paraId="4F12686D" w14:textId="77777777" w:rsidR="001B6C3B" w:rsidRDefault="001B6C3B" w:rsidP="001B6C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слова о том, что при преобразовании возникает новое лицо(«при преобразовании юридического лица одного вида в юридическое лицо другого вида (изменении организационно-правовой формы) к вновь возникшему юридическому лицу переходят права и обязанности реорганизованного юридического лица в соответствии с передаточным актом») были исключены из ст. 58 Кодекса;</w:t>
      </w:r>
    </w:p>
    <w:p w14:paraId="103CF14C" w14:textId="77777777" w:rsidR="001B6C3B" w:rsidRDefault="001B6C3B" w:rsidP="001B6C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 соответственно, неясно, прекращается ли преобразованное лицо в результате преобразования в том смысле, как это понимается Федеральным законом «О государственной регистрации юридических лиц и индивидуальных предпринимателей»;</w:t>
      </w:r>
    </w:p>
    <w:p w14:paraId="0D019FF8" w14:textId="77777777" w:rsidR="001B6C3B" w:rsidRDefault="001B6C3B" w:rsidP="001B6C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Пр</w:t>
      </w:r>
      <w:r>
        <w:rPr>
          <w:rFonts w:ascii="Times New Roman" w:eastAsia="Times New Roman" w:hAnsi="Times New Roman" w:cs="Times New Roman"/>
          <w:sz w:val="24"/>
          <w:szCs w:val="24"/>
          <w:lang w:val="en-US" w:eastAsia="ru-RU"/>
        </w:rPr>
        <w:t>e</w:t>
      </w:r>
      <w:r>
        <w:rPr>
          <w:rFonts w:ascii="Times New Roman" w:eastAsia="Times New Roman" w:hAnsi="Times New Roman" w:cs="Times New Roman"/>
          <w:sz w:val="24"/>
          <w:szCs w:val="24"/>
          <w:lang w:eastAsia="ru-RU"/>
        </w:rPr>
        <w:t>образовани</w:t>
      </w:r>
      <w:r>
        <w:rPr>
          <w:rFonts w:ascii="Times New Roman" w:eastAsia="Times New Roman" w:hAnsi="Times New Roman" w:cs="Times New Roman"/>
          <w:sz w:val="24"/>
          <w:szCs w:val="24"/>
          <w:lang w:val="en-US" w:eastAsia="ru-RU"/>
        </w:rPr>
        <w:t>e</w:t>
      </w:r>
      <w:r>
        <w:rPr>
          <w:rFonts w:ascii="Times New Roman" w:eastAsia="Times New Roman" w:hAnsi="Times New Roman" w:cs="Times New Roman"/>
          <w:sz w:val="24"/>
          <w:szCs w:val="24"/>
          <w:lang w:eastAsia="ru-RU"/>
        </w:rPr>
        <w:t>, как и разделение, — это форма реорганизации, которая исключает какое-либо договорное начало, поскольку реорганизации подвергается одно юридическое лицо, меняющее ф</w:t>
      </w:r>
      <w:r>
        <w:rPr>
          <w:rFonts w:ascii="Times New Roman" w:eastAsia="Times New Roman" w:hAnsi="Times New Roman" w:cs="Times New Roman"/>
          <w:sz w:val="24"/>
          <w:szCs w:val="24"/>
          <w:lang w:val="en-US" w:eastAsia="ru-RU"/>
        </w:rPr>
        <w:t>o</w:t>
      </w:r>
      <w:r>
        <w:rPr>
          <w:rFonts w:ascii="Times New Roman" w:eastAsia="Times New Roman" w:hAnsi="Times New Roman" w:cs="Times New Roman"/>
          <w:sz w:val="24"/>
          <w:szCs w:val="24"/>
          <w:lang w:eastAsia="ru-RU"/>
        </w:rPr>
        <w:t>рму. Сл</w:t>
      </w:r>
      <w:r>
        <w:rPr>
          <w:rFonts w:ascii="Times New Roman" w:eastAsia="Times New Roman" w:hAnsi="Times New Roman" w:cs="Times New Roman"/>
          <w:sz w:val="24"/>
          <w:szCs w:val="24"/>
          <w:lang w:val="en-US" w:eastAsia="ru-RU"/>
        </w:rPr>
        <w:t>e</w:t>
      </w:r>
      <w:r>
        <w:rPr>
          <w:rFonts w:ascii="Times New Roman" w:eastAsia="Times New Roman" w:hAnsi="Times New Roman" w:cs="Times New Roman"/>
          <w:sz w:val="24"/>
          <w:szCs w:val="24"/>
          <w:lang w:eastAsia="ru-RU"/>
        </w:rPr>
        <w:t>довательно, такому лицу не с кем согласовывать свою волю. Это предполагает ключевую роль решения о реорганизации, принимаемого уполномоченным лицом (собственником, собранием  участников, уполномоченным органом).</w:t>
      </w:r>
    </w:p>
    <w:p w14:paraId="126298C8" w14:textId="77777777" w:rsidR="001B6C3B" w:rsidRDefault="001B6C3B" w:rsidP="001B6C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Здесь, как и во всех пр</w:t>
      </w:r>
      <w:r>
        <w:rPr>
          <w:rFonts w:ascii="Times New Roman" w:eastAsia="Times New Roman" w:hAnsi="Times New Roman" w:cs="Times New Roman"/>
          <w:sz w:val="24"/>
          <w:szCs w:val="24"/>
          <w:lang w:val="en-US" w:eastAsia="ru-RU"/>
        </w:rPr>
        <w:t>e</w:t>
      </w:r>
      <w:r>
        <w:rPr>
          <w:rFonts w:ascii="Times New Roman" w:eastAsia="Times New Roman" w:hAnsi="Times New Roman" w:cs="Times New Roman"/>
          <w:sz w:val="24"/>
          <w:szCs w:val="24"/>
          <w:lang w:eastAsia="ru-RU"/>
        </w:rPr>
        <w:t>дыдущих случаях, мы должны отметить, что общих требований к решению о реорганизации в ф</w:t>
      </w:r>
      <w:r>
        <w:rPr>
          <w:rFonts w:ascii="Times New Roman" w:eastAsia="Times New Roman" w:hAnsi="Times New Roman" w:cs="Times New Roman"/>
          <w:sz w:val="24"/>
          <w:szCs w:val="24"/>
          <w:lang w:val="en-US" w:eastAsia="ru-RU"/>
        </w:rPr>
        <w:t>o</w:t>
      </w:r>
      <w:r>
        <w:rPr>
          <w:rFonts w:ascii="Times New Roman" w:eastAsia="Times New Roman" w:hAnsi="Times New Roman" w:cs="Times New Roman"/>
          <w:sz w:val="24"/>
          <w:szCs w:val="24"/>
          <w:lang w:eastAsia="ru-RU"/>
        </w:rPr>
        <w:t>рме преобразования  в законе нет, они описаны применительно к различным организационно-правовым формам и совершенно различно (ст. 20Федерального закона «Об акционерных обществах», ст. 56 Федерального закона «Об обществах с ограниченной ответственностью», ст. 34Федерального закона «О государственных и муниципальных унитарных предприятиях», ст. 9 Федерального закона «О кредитной кооперации», ст. 24 Федерального закона «О хозяйственных партнерствах»).</w:t>
      </w:r>
      <w:r>
        <w:rPr>
          <w:rStyle w:val="a7"/>
          <w:rFonts w:ascii="Times New Roman" w:eastAsia="Times New Roman" w:hAnsi="Times New Roman" w:cs="Times New Roman"/>
          <w:sz w:val="24"/>
          <w:szCs w:val="24"/>
          <w:lang w:eastAsia="ru-RU"/>
        </w:rPr>
        <w:footnoteReference w:id="187"/>
      </w:r>
    </w:p>
    <w:p w14:paraId="6B8BE029" w14:textId="77777777" w:rsidR="001B6C3B" w:rsidRDefault="001B6C3B" w:rsidP="001B6C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Подводя итог, можно сделать вывод, что изучать законодательство, связанное с реорганизацией можно бесконечно, так как это важная правовая категория, которая нуждается в полном анализе всех пяти форм реорганизации.</w:t>
      </w:r>
    </w:p>
    <w:p w14:paraId="702364E0" w14:textId="77777777" w:rsidR="001B6C3B" w:rsidRDefault="001B6C3B" w:rsidP="001B6C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
    <w:p w14:paraId="18E1D971" w14:textId="77777777" w:rsidR="001B6C3B" w:rsidRDefault="001B6C3B" w:rsidP="001B6C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Библиографический список:</w:t>
      </w:r>
    </w:p>
    <w:p w14:paraId="2B5F8577" w14:textId="77777777" w:rsidR="001B6C3B" w:rsidRDefault="001B6C3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eastAsia="Times New Roman" w:hAnsi="Times New Roman" w:cs="Times New Roman"/>
          <w:sz w:val="24"/>
          <w:szCs w:val="24"/>
          <w:lang w:eastAsia="ru-RU"/>
        </w:rPr>
        <w:t xml:space="preserve">1. </w:t>
      </w:r>
      <w:r>
        <w:rPr>
          <w:rFonts w:ascii="Times New Roman" w:hAnsi="Times New Roman" w:cs="Times New Roman"/>
          <w:i/>
          <w:sz w:val="24"/>
          <w:szCs w:val="24"/>
        </w:rPr>
        <w:t>Габов А.В.</w:t>
      </w:r>
      <w:r>
        <w:rPr>
          <w:rFonts w:ascii="Times New Roman" w:hAnsi="Times New Roman" w:cs="Times New Roman"/>
          <w:sz w:val="24"/>
          <w:szCs w:val="24"/>
        </w:rPr>
        <w:t xml:space="preserve"> Юридические лица в российском гражданском праве: Монография. – Москва: ИНФРА-М, 2015. –  280 с.</w:t>
      </w:r>
    </w:p>
    <w:p w14:paraId="0A8FEFAA" w14:textId="77777777" w:rsidR="001B6C3B" w:rsidRDefault="001B6C3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2</w:t>
      </w:r>
      <w:r>
        <w:rPr>
          <w:rFonts w:ascii="Times New Roman" w:hAnsi="Times New Roman" w:cs="Times New Roman"/>
          <w:i/>
          <w:sz w:val="24"/>
          <w:szCs w:val="24"/>
        </w:rPr>
        <w:t xml:space="preserve">. </w:t>
      </w:r>
      <w:r>
        <w:rPr>
          <w:rFonts w:ascii="Times New Roman" w:hAnsi="Times New Roman" w:cs="Times New Roman"/>
          <w:i/>
          <w:sz w:val="24"/>
          <w:szCs w:val="24"/>
          <w:shd w:val="clear" w:color="auto" w:fill="FFFFFF"/>
        </w:rPr>
        <w:t>Гетенева М.С</w:t>
      </w:r>
      <w:r>
        <w:rPr>
          <w:rFonts w:ascii="Times New Roman" w:hAnsi="Times New Roman" w:cs="Times New Roman"/>
          <w:sz w:val="24"/>
          <w:szCs w:val="24"/>
          <w:shd w:val="clear" w:color="auto" w:fill="FFFFFF"/>
        </w:rPr>
        <w:t>. Правовая природа реорганизации юридических лиц, виды реорганизации // Таврический научный обозреватель. – 2016. - № 11. – С. 78-84.</w:t>
      </w:r>
    </w:p>
    <w:p w14:paraId="4EEA0088" w14:textId="77777777" w:rsidR="001B6C3B" w:rsidRDefault="001B6C3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shd w:val="clear" w:color="auto" w:fill="FFFFFF"/>
        </w:rPr>
      </w:pPr>
      <w:r>
        <w:rPr>
          <w:rFonts w:ascii="Times New Roman" w:hAnsi="Times New Roman" w:cs="Times New Roman"/>
          <w:sz w:val="24"/>
          <w:szCs w:val="24"/>
        </w:rPr>
        <w:t xml:space="preserve">3. </w:t>
      </w:r>
      <w:r>
        <w:rPr>
          <w:rFonts w:ascii="Times New Roman" w:hAnsi="Times New Roman" w:cs="Times New Roman"/>
          <w:i/>
          <w:sz w:val="24"/>
          <w:szCs w:val="24"/>
          <w:shd w:val="clear" w:color="auto" w:fill="FFFFFF"/>
        </w:rPr>
        <w:t>Ординян П.А., Рубанов С.А.</w:t>
      </w:r>
      <w:r>
        <w:rPr>
          <w:rFonts w:ascii="Times New Roman" w:hAnsi="Times New Roman" w:cs="Times New Roman"/>
          <w:sz w:val="24"/>
          <w:szCs w:val="24"/>
          <w:shd w:val="clear" w:color="auto" w:fill="FFFFFF"/>
        </w:rPr>
        <w:t xml:space="preserve"> Теоретические положения об институте реорганизации юридических лиц: понятие, виды, правовая характеристика // Актуальные исследования. – 2019. - № 1. – С. 32-34.</w:t>
      </w:r>
    </w:p>
    <w:p w14:paraId="02234EF5" w14:textId="77777777" w:rsidR="001B6C3B" w:rsidRDefault="001B6C3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shd w:val="clear" w:color="auto" w:fill="FFFFFF"/>
        </w:rPr>
        <w:t xml:space="preserve">4. </w:t>
      </w:r>
      <w:r>
        <w:rPr>
          <w:rFonts w:ascii="Times New Roman" w:hAnsi="Times New Roman" w:cs="Times New Roman"/>
          <w:i/>
          <w:sz w:val="24"/>
          <w:szCs w:val="24"/>
        </w:rPr>
        <w:t>Юкша Я.А</w:t>
      </w:r>
      <w:r>
        <w:rPr>
          <w:rFonts w:ascii="Times New Roman" w:hAnsi="Times New Roman" w:cs="Times New Roman"/>
          <w:sz w:val="24"/>
          <w:szCs w:val="24"/>
        </w:rPr>
        <w:t>. Гражданское право: учебное пособие. – Москва:  ИНФРА-М, 2011. – 364 с</w:t>
      </w:r>
    </w:p>
    <w:p w14:paraId="1F98AF8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sectPr w:rsidR="001B6C3B">
          <w:footnotePr>
            <w:numRestart w:val="eachPage"/>
          </w:footnotePr>
          <w:pgSz w:w="11906" w:h="16838"/>
          <w:pgMar w:top="1134" w:right="1134" w:bottom="1134" w:left="1134" w:header="709" w:footer="709" w:gutter="0"/>
          <w:cols w:space="720"/>
        </w:sectPr>
      </w:pPr>
    </w:p>
    <w:p w14:paraId="3F935D9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62"/>
        <w:jc w:val="both"/>
        <w:rPr>
          <w:rFonts w:ascii="Times New Roman" w:hAnsi="Times New Roman" w:cs="Times New Roman"/>
          <w:b/>
          <w:sz w:val="24"/>
          <w:szCs w:val="24"/>
        </w:rPr>
      </w:pPr>
      <w:r>
        <w:rPr>
          <w:rFonts w:ascii="Times New Roman" w:hAnsi="Times New Roman" w:cs="Times New Roman"/>
          <w:b/>
          <w:sz w:val="24"/>
          <w:szCs w:val="24"/>
        </w:rPr>
        <w:lastRenderedPageBreak/>
        <w:t>УДК 347</w:t>
      </w:r>
    </w:p>
    <w:p w14:paraId="137A182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62"/>
        <w:jc w:val="both"/>
        <w:rPr>
          <w:rFonts w:ascii="Times New Roman" w:hAnsi="Times New Roman" w:cs="Times New Roman"/>
          <w:sz w:val="24"/>
          <w:szCs w:val="24"/>
        </w:rPr>
      </w:pPr>
    </w:p>
    <w:p w14:paraId="4DFDC07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62"/>
        <w:jc w:val="both"/>
        <w:rPr>
          <w:rFonts w:ascii="Times New Roman" w:hAnsi="Times New Roman" w:cs="Times New Roman"/>
          <w:b/>
          <w:sz w:val="24"/>
          <w:szCs w:val="24"/>
        </w:rPr>
      </w:pPr>
      <w:r>
        <w:rPr>
          <w:rFonts w:ascii="Times New Roman" w:hAnsi="Times New Roman" w:cs="Times New Roman"/>
          <w:b/>
          <w:sz w:val="24"/>
          <w:szCs w:val="24"/>
        </w:rPr>
        <w:t>Кокошко Анастасия Владимировна</w:t>
      </w:r>
    </w:p>
    <w:p w14:paraId="1ACDCB2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62"/>
        <w:jc w:val="both"/>
        <w:rPr>
          <w:rFonts w:ascii="Times New Roman" w:hAnsi="Times New Roman" w:cs="Times New Roman"/>
          <w:b/>
          <w:sz w:val="24"/>
          <w:szCs w:val="24"/>
        </w:rPr>
      </w:pPr>
      <w:r>
        <w:rPr>
          <w:rFonts w:ascii="Times New Roman" w:hAnsi="Times New Roman" w:cs="Times New Roman"/>
          <w:b/>
          <w:sz w:val="24"/>
          <w:szCs w:val="24"/>
        </w:rPr>
        <w:t>Kokoshko Anastasia Vladimirovna</w:t>
      </w:r>
    </w:p>
    <w:p w14:paraId="63F7984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62"/>
        <w:jc w:val="both"/>
        <w:rPr>
          <w:rFonts w:ascii="Times New Roman" w:hAnsi="Times New Roman" w:cs="Times New Roman"/>
          <w:sz w:val="24"/>
          <w:szCs w:val="24"/>
        </w:rPr>
      </w:pPr>
      <w:r>
        <w:rPr>
          <w:rFonts w:ascii="Times New Roman" w:hAnsi="Times New Roman" w:cs="Times New Roman"/>
          <w:sz w:val="24"/>
          <w:szCs w:val="24"/>
        </w:rPr>
        <w:t>бакалавр</w:t>
      </w:r>
    </w:p>
    <w:p w14:paraId="2C9967A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62"/>
        <w:jc w:val="both"/>
        <w:rPr>
          <w:rFonts w:ascii="Times New Roman" w:hAnsi="Times New Roman" w:cs="Times New Roman"/>
          <w:sz w:val="24"/>
          <w:szCs w:val="24"/>
        </w:rPr>
      </w:pPr>
      <w:r>
        <w:rPr>
          <w:rFonts w:ascii="Times New Roman" w:hAnsi="Times New Roman" w:cs="Times New Roman"/>
          <w:sz w:val="24"/>
          <w:szCs w:val="24"/>
        </w:rPr>
        <w:t>Федеральное государственное бюджетное</w:t>
      </w:r>
    </w:p>
    <w:p w14:paraId="1429802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62"/>
        <w:jc w:val="both"/>
        <w:rPr>
          <w:rFonts w:ascii="Times New Roman" w:hAnsi="Times New Roman" w:cs="Times New Roman"/>
          <w:sz w:val="24"/>
          <w:szCs w:val="24"/>
        </w:rPr>
      </w:pPr>
      <w:r>
        <w:rPr>
          <w:rFonts w:ascii="Times New Roman" w:hAnsi="Times New Roman" w:cs="Times New Roman"/>
          <w:sz w:val="24"/>
          <w:szCs w:val="24"/>
        </w:rPr>
        <w:t>образовательное учреждение высшего образования</w:t>
      </w:r>
    </w:p>
    <w:p w14:paraId="17262AE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62"/>
        <w:jc w:val="both"/>
        <w:rPr>
          <w:rFonts w:ascii="Times New Roman" w:hAnsi="Times New Roman" w:cs="Times New Roman"/>
          <w:sz w:val="24"/>
          <w:szCs w:val="24"/>
        </w:rPr>
      </w:pPr>
      <w:r>
        <w:rPr>
          <w:rFonts w:ascii="Times New Roman" w:hAnsi="Times New Roman" w:cs="Times New Roman"/>
          <w:sz w:val="24"/>
          <w:szCs w:val="24"/>
        </w:rPr>
        <w:t xml:space="preserve"> «Кубанский государственный аграрный университет</w:t>
      </w:r>
    </w:p>
    <w:p w14:paraId="2E4834B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62"/>
        <w:jc w:val="both"/>
        <w:rPr>
          <w:rFonts w:ascii="Times New Roman" w:hAnsi="Times New Roman" w:cs="Times New Roman"/>
          <w:sz w:val="24"/>
          <w:szCs w:val="24"/>
        </w:rPr>
      </w:pPr>
      <w:r>
        <w:rPr>
          <w:rFonts w:ascii="Times New Roman" w:hAnsi="Times New Roman" w:cs="Times New Roman"/>
          <w:sz w:val="24"/>
          <w:szCs w:val="24"/>
        </w:rPr>
        <w:t>имени И.Т. Трубилина»</w:t>
      </w:r>
    </w:p>
    <w:p w14:paraId="2319FED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62"/>
        <w:jc w:val="both"/>
        <w:rPr>
          <w:rFonts w:ascii="Times New Roman" w:hAnsi="Times New Roman" w:cs="Times New Roman"/>
          <w:sz w:val="24"/>
          <w:szCs w:val="24"/>
          <w:lang w:val="en-US"/>
        </w:rPr>
      </w:pPr>
      <w:r>
        <w:rPr>
          <w:rFonts w:ascii="Times New Roman" w:hAnsi="Times New Roman" w:cs="Times New Roman"/>
          <w:sz w:val="24"/>
          <w:szCs w:val="24"/>
          <w:lang w:val="en-US"/>
        </w:rPr>
        <w:t>Federal State Budgetary Educational Institution of Higher</w:t>
      </w:r>
    </w:p>
    <w:p w14:paraId="3752026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62"/>
        <w:jc w:val="both"/>
        <w:rPr>
          <w:rFonts w:ascii="Times New Roman" w:hAnsi="Times New Roman" w:cs="Times New Roman"/>
          <w:sz w:val="24"/>
          <w:szCs w:val="24"/>
          <w:lang w:val="en-US"/>
        </w:rPr>
      </w:pPr>
      <w:r>
        <w:rPr>
          <w:rFonts w:ascii="Times New Roman" w:hAnsi="Times New Roman" w:cs="Times New Roman"/>
          <w:sz w:val="24"/>
          <w:szCs w:val="24"/>
          <w:lang w:val="en-US"/>
        </w:rPr>
        <w:t>Education</w:t>
      </w:r>
    </w:p>
    <w:p w14:paraId="6032044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62"/>
        <w:jc w:val="both"/>
        <w:rPr>
          <w:rFonts w:ascii="Times New Roman" w:hAnsi="Times New Roman" w:cs="Times New Roman"/>
          <w:sz w:val="24"/>
          <w:szCs w:val="24"/>
          <w:lang w:val="en-US"/>
        </w:rPr>
      </w:pPr>
      <w:r>
        <w:rPr>
          <w:rFonts w:ascii="Times New Roman" w:hAnsi="Times New Roman" w:cs="Times New Roman"/>
          <w:sz w:val="24"/>
          <w:szCs w:val="24"/>
          <w:lang w:val="en-US"/>
        </w:rPr>
        <w:t>“Kuban State Agrarian University named after I.T.</w:t>
      </w:r>
    </w:p>
    <w:p w14:paraId="79DAE4B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62"/>
        <w:jc w:val="both"/>
        <w:rPr>
          <w:rFonts w:ascii="Times New Roman" w:hAnsi="Times New Roman" w:cs="Times New Roman"/>
          <w:sz w:val="24"/>
          <w:szCs w:val="24"/>
          <w:lang w:val="en-US"/>
        </w:rPr>
      </w:pPr>
      <w:r>
        <w:rPr>
          <w:rFonts w:ascii="Times New Roman" w:hAnsi="Times New Roman" w:cs="Times New Roman"/>
          <w:sz w:val="24"/>
          <w:szCs w:val="24"/>
          <w:lang w:val="en-US"/>
        </w:rPr>
        <w:t>Trubilin”</w:t>
      </w:r>
    </w:p>
    <w:p w14:paraId="5D863BC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62"/>
        <w:jc w:val="both"/>
        <w:rPr>
          <w:rFonts w:ascii="Times New Roman" w:hAnsi="Times New Roman" w:cs="Times New Roman"/>
          <w:sz w:val="24"/>
          <w:szCs w:val="24"/>
          <w:lang w:val="en-US"/>
        </w:rPr>
      </w:pPr>
      <w:r>
        <w:rPr>
          <w:rFonts w:ascii="Times New Roman" w:hAnsi="Times New Roman" w:cs="Times New Roman"/>
          <w:sz w:val="24"/>
          <w:szCs w:val="24"/>
        </w:rPr>
        <w:t>Российская</w:t>
      </w:r>
      <w:r>
        <w:rPr>
          <w:rFonts w:ascii="Times New Roman" w:hAnsi="Times New Roman" w:cs="Times New Roman"/>
          <w:sz w:val="24"/>
          <w:szCs w:val="24"/>
          <w:lang w:val="en-US"/>
        </w:rPr>
        <w:t xml:space="preserve"> </w:t>
      </w:r>
      <w:r>
        <w:rPr>
          <w:rFonts w:ascii="Times New Roman" w:hAnsi="Times New Roman" w:cs="Times New Roman"/>
          <w:sz w:val="24"/>
          <w:szCs w:val="24"/>
        </w:rPr>
        <w:t>Федерация</w:t>
      </w:r>
      <w:r>
        <w:rPr>
          <w:rFonts w:ascii="Times New Roman" w:hAnsi="Times New Roman" w:cs="Times New Roman"/>
          <w:sz w:val="24"/>
          <w:szCs w:val="24"/>
          <w:lang w:val="en-US"/>
        </w:rPr>
        <w:t xml:space="preserve">, </w:t>
      </w:r>
      <w:r>
        <w:rPr>
          <w:rFonts w:ascii="Times New Roman" w:hAnsi="Times New Roman" w:cs="Times New Roman"/>
          <w:sz w:val="24"/>
          <w:szCs w:val="24"/>
        </w:rPr>
        <w:t>г</w:t>
      </w:r>
      <w:r>
        <w:rPr>
          <w:rFonts w:ascii="Times New Roman" w:hAnsi="Times New Roman" w:cs="Times New Roman"/>
          <w:sz w:val="24"/>
          <w:szCs w:val="24"/>
          <w:lang w:val="en-US"/>
        </w:rPr>
        <w:t xml:space="preserve">. </w:t>
      </w:r>
      <w:r>
        <w:rPr>
          <w:rFonts w:ascii="Times New Roman" w:hAnsi="Times New Roman" w:cs="Times New Roman"/>
          <w:sz w:val="24"/>
          <w:szCs w:val="24"/>
        </w:rPr>
        <w:t>Краснодар</w:t>
      </w:r>
    </w:p>
    <w:p w14:paraId="01AFBA0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62"/>
        <w:jc w:val="both"/>
        <w:rPr>
          <w:rFonts w:ascii="Times New Roman" w:hAnsi="Times New Roman" w:cs="Times New Roman"/>
          <w:sz w:val="24"/>
          <w:szCs w:val="24"/>
          <w:lang w:val="en-US"/>
        </w:rPr>
      </w:pPr>
      <w:r>
        <w:rPr>
          <w:rFonts w:ascii="Times New Roman" w:hAnsi="Times New Roman" w:cs="Times New Roman"/>
          <w:sz w:val="24"/>
          <w:szCs w:val="24"/>
          <w:lang w:val="en-US"/>
        </w:rPr>
        <w:t>Russian Federation, Krasnodar</w:t>
      </w:r>
    </w:p>
    <w:p w14:paraId="4D8060A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62"/>
        <w:jc w:val="both"/>
        <w:rPr>
          <w:rFonts w:ascii="Times New Roman" w:hAnsi="Times New Roman" w:cs="Times New Roman"/>
          <w:sz w:val="24"/>
          <w:szCs w:val="24"/>
        </w:rPr>
      </w:pPr>
      <w:r>
        <w:rPr>
          <w:rFonts w:ascii="Times New Roman" w:hAnsi="Times New Roman" w:cs="Times New Roman"/>
          <w:sz w:val="24"/>
          <w:szCs w:val="24"/>
        </w:rPr>
        <w:t>nastya.kokoshko2014@outlook.com</w:t>
      </w:r>
    </w:p>
    <w:p w14:paraId="5107E24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
          <w:sz w:val="24"/>
          <w:szCs w:val="24"/>
        </w:rPr>
      </w:pPr>
    </w:p>
    <w:p w14:paraId="3680637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sz w:val="24"/>
          <w:szCs w:val="24"/>
        </w:rPr>
      </w:pPr>
    </w:p>
    <w:p w14:paraId="76754D8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hAnsi="Times New Roman" w:cs="Times New Roman"/>
          <w:b/>
          <w:sz w:val="24"/>
          <w:szCs w:val="24"/>
        </w:rPr>
      </w:pPr>
      <w:r>
        <w:rPr>
          <w:rFonts w:ascii="Times New Roman" w:hAnsi="Times New Roman" w:cs="Times New Roman"/>
          <w:b/>
          <w:sz w:val="24"/>
          <w:szCs w:val="24"/>
        </w:rPr>
        <w:t>ИНСТИТУТ РАСКРЫТИЯ ДОКАЗАТЕЛЬСТВ В ГРАЖДАНСКОМ И АРБИТРАЖНОМ ПРОЦЕССЕ</w:t>
      </w:r>
    </w:p>
    <w:p w14:paraId="0D2C512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hAnsi="Times New Roman" w:cs="Times New Roman"/>
          <w:b/>
          <w:sz w:val="24"/>
          <w:szCs w:val="24"/>
        </w:rPr>
      </w:pPr>
    </w:p>
    <w:p w14:paraId="7832B4B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hAnsi="Times New Roman" w:cs="Times New Roman"/>
          <w:sz w:val="24"/>
          <w:szCs w:val="24"/>
          <w:lang w:val="en-US"/>
        </w:rPr>
      </w:pPr>
      <w:r>
        <w:rPr>
          <w:rFonts w:ascii="Times New Roman" w:hAnsi="Times New Roman" w:cs="Times New Roman"/>
          <w:b/>
          <w:sz w:val="24"/>
          <w:szCs w:val="24"/>
          <w:lang w:val="en-US"/>
        </w:rPr>
        <w:t>INSTITUTE FOR THE DISCLOSURE OF EVIDENCE IN CIVIL AND ARBITRATION PROCEEDINGS</w:t>
      </w:r>
    </w:p>
    <w:p w14:paraId="4C4B9F0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sz w:val="24"/>
          <w:szCs w:val="24"/>
          <w:lang w:val="en-US"/>
        </w:rPr>
      </w:pPr>
      <w:r>
        <w:rPr>
          <w:rFonts w:ascii="Times New Roman" w:hAnsi="Times New Roman" w:cs="Times New Roman"/>
          <w:sz w:val="24"/>
          <w:szCs w:val="24"/>
          <w:lang w:val="en-US"/>
        </w:rPr>
        <w:t xml:space="preserve">                                                                                                         </w:t>
      </w:r>
    </w:p>
    <w:p w14:paraId="0C1FD0F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Аннотация: Статья посвящена анализу института раскрытия доказательств в гражданском и арбитражном процессе. Исследована сущность понятия «раскрытие доказательств», внесены предложения по детальной разработке процедуры раскрытия отдельных средств доказывания, обоснован вывод о необходимости законодательного закрепления процессуального порядка раскрытия доказательств.</w:t>
      </w:r>
    </w:p>
    <w:p w14:paraId="3BA15BC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
          <w:sz w:val="24"/>
          <w:szCs w:val="24"/>
        </w:rPr>
      </w:pPr>
      <w:r>
        <w:rPr>
          <w:rFonts w:ascii="Times New Roman" w:hAnsi="Times New Roman" w:cs="Times New Roman"/>
          <w:i/>
          <w:sz w:val="24"/>
          <w:szCs w:val="24"/>
        </w:rPr>
        <w:t>Ключевые слова: гражданское судопроизводство, раскрытие доказательств, гражданский процесс, представление доказательств, состязательность, арбитражный процесс, доказательства.</w:t>
      </w:r>
    </w:p>
    <w:p w14:paraId="384A509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
          <w:sz w:val="24"/>
          <w:szCs w:val="24"/>
        </w:rPr>
      </w:pPr>
    </w:p>
    <w:p w14:paraId="160250E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i/>
          <w:sz w:val="24"/>
          <w:szCs w:val="24"/>
          <w:lang w:val="en-US"/>
        </w:rPr>
      </w:pPr>
      <w:r>
        <w:rPr>
          <w:rFonts w:ascii="Times New Roman" w:eastAsia="Times New Roman" w:hAnsi="Times New Roman" w:cs="Times New Roman"/>
          <w:i/>
          <w:sz w:val="24"/>
          <w:szCs w:val="24"/>
          <w:lang w:val="en-US"/>
        </w:rPr>
        <w:t>Аnnotation: The article is devoted to the analysis of the institution of disclosure of evidence in civil and arbitration proceedings. The essence of the concept of "disclosure of evidence" has been studied, proposals have been made for the detailed development of the procedure for disclosure of individual means of evidence, and the conclusion on the need to legislate the procedural procedure for disclosure of evidence has been justified.</w:t>
      </w:r>
    </w:p>
    <w:p w14:paraId="71E7640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
          <w:sz w:val="24"/>
          <w:szCs w:val="24"/>
          <w:lang w:val="en-US"/>
        </w:rPr>
      </w:pPr>
      <w:r>
        <w:rPr>
          <w:rFonts w:ascii="Times New Roman" w:hAnsi="Times New Roman" w:cs="Times New Roman"/>
          <w:i/>
          <w:sz w:val="24"/>
          <w:szCs w:val="24"/>
          <w:lang w:val="en-US"/>
        </w:rPr>
        <w:t>Keywords: civil procedure, disclosure of evidence, civil procedure, presentation of evidence, adversarial, arbitration, evidence.</w:t>
      </w:r>
    </w:p>
    <w:p w14:paraId="54F5F2E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
          <w:sz w:val="24"/>
          <w:szCs w:val="24"/>
          <w:lang w:val="en-US"/>
        </w:rPr>
      </w:pPr>
    </w:p>
    <w:p w14:paraId="7A7574E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
          <w:sz w:val="24"/>
          <w:szCs w:val="24"/>
        </w:rPr>
      </w:pPr>
      <w:r>
        <w:rPr>
          <w:rFonts w:ascii="Times New Roman" w:hAnsi="Times New Roman" w:cs="Times New Roman"/>
          <w:sz w:val="24"/>
          <w:szCs w:val="24"/>
        </w:rPr>
        <w:t>В свете изменений, которые вносятся в действующее арбитражное и гражданское процессуальное законодательство, процессуальный институт раскрытия доказательств приобрел особую актуальность.</w:t>
      </w:r>
    </w:p>
    <w:p w14:paraId="0712464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rPr>
      </w:pPr>
      <w:r>
        <w:rPr>
          <w:rFonts w:ascii="Times New Roman" w:hAnsi="Times New Roman" w:cs="Times New Roman"/>
          <w:sz w:val="24"/>
          <w:szCs w:val="24"/>
        </w:rPr>
        <w:t xml:space="preserve">На современном этапе развития гражданско-процессуального законодательства выделяются несколько этапов деятельности являющейся доказательственной. При этом следует отметить, что все этапы доказывания определяются исключительной важностью в гражданском судопроизводстве. Совокупность этапов, без прохождения каждого из которых </w:t>
      </w:r>
      <w:r>
        <w:rPr>
          <w:rFonts w:ascii="Times New Roman" w:hAnsi="Times New Roman" w:cs="Times New Roman"/>
          <w:sz w:val="24"/>
          <w:szCs w:val="24"/>
        </w:rPr>
        <w:lastRenderedPageBreak/>
        <w:t>нельзя правильно и своевременно разрешить гражданское дело понимается в действующем законодательстве под доказыванием.</w:t>
      </w:r>
    </w:p>
    <w:p w14:paraId="631E66D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Свое закрепление институт раскрытия доказательств впервые получил в нормах АПК РФ. Многие исследователи считают, что предварительное раскрытие доказательств является отсылкой к одному из основных принципов гражданского процесса - принципу состязательности. По нашему мнению, данный взгляд является объективным, так как раскрытие доказательств позволяет предотвратить наступление негативных последствий, которые являются неизбежным итогом недобросовестных действий участников процесса, вовремя не представляющих, либо не раскрывающих содержание доказательств, что в целом препятствует состязательности, способствуя затягиванию процесса.  </w:t>
      </w:r>
    </w:p>
    <w:p w14:paraId="205CDCB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большей степени, современные процессуалисты, не рассматривают раскрытие доказательств в качестве самостоятельного этапа процесса доказывания. На наш взгляд, данная позиция должна быть теоретически обоснована и  соответствовать  положениям современного процессуального  законодательства, что пока представляется небесспорным. В гражданском и арбитражном процессе содержанием принципа состязательности является обязанность сторон доказывать те обстоятельства, на которые они ссылаются как на основания своих требований и возражений. </w:t>
      </w:r>
    </w:p>
    <w:p w14:paraId="258B32D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Нами поддержано мнение авторов, полагающих, что одной из составных частей всей доказательственной деятельности, как раз и является раскрытие доказательств, что и отражает  тесную взаимосвязь с принципом состязательности.  Так, например, Л.А. Терехова считает, что на принципе состязательности «основаны порядок сбора доказательств, подготовка дела к судебному разбирательству, и само судебное разбирательство с принятием итогового решения</w:t>
      </w:r>
      <w:r>
        <w:rPr>
          <w:rStyle w:val="a7"/>
          <w:rFonts w:ascii="Times New Roman" w:hAnsi="Times New Roman" w:cs="Times New Roman"/>
          <w:sz w:val="24"/>
          <w:szCs w:val="24"/>
        </w:rPr>
        <w:footnoteReference w:id="188"/>
      </w:r>
      <w:r>
        <w:rPr>
          <w:rFonts w:ascii="Times New Roman" w:hAnsi="Times New Roman" w:cs="Times New Roman"/>
          <w:sz w:val="24"/>
          <w:szCs w:val="24"/>
        </w:rPr>
        <w:t>».</w:t>
      </w:r>
    </w:p>
    <w:p w14:paraId="68293E7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Таким образом, принцип состязательности включает в себя, по общему правилу, не только права и обязанности сторон по представлению доказательств в подтверждение тех обстоятельств, на которые они ссылаются как на основание своих требований и возражений, но и, соответственно, закрепляет одну из  обязанностей лиц -  раскрывать  доказательства перед другими участниками процесса.</w:t>
      </w:r>
    </w:p>
    <w:p w14:paraId="114E1A1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Существующие сложности в арбитражном и гражданском процессуальном законодательстве возникают ввиду того, что имеющийся законодательный подход к данному институту обладает существенными недостатками. </w:t>
      </w:r>
    </w:p>
    <w:p w14:paraId="7C4BF3C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rPr>
      </w:pPr>
      <w:r>
        <w:rPr>
          <w:rFonts w:ascii="Times New Roman" w:hAnsi="Times New Roman" w:cs="Times New Roman"/>
          <w:sz w:val="24"/>
          <w:szCs w:val="24"/>
        </w:rPr>
        <w:t>В первую очередь к таким недостаткам относится отсутствие легального определения понятия «раскрытие доказательств». К примеру, подавляющее большинство правоведов относят его к, так называемому, ознакомлению участников гражданского спора с внутренним содержанием доказательства</w:t>
      </w:r>
      <w:r>
        <w:rPr>
          <w:rStyle w:val="a7"/>
          <w:rFonts w:ascii="Times New Roman" w:hAnsi="Times New Roman" w:cs="Times New Roman"/>
          <w:sz w:val="24"/>
          <w:szCs w:val="24"/>
        </w:rPr>
        <w:footnoteReference w:id="189"/>
      </w:r>
      <w:r>
        <w:rPr>
          <w:rFonts w:ascii="Times New Roman" w:hAnsi="Times New Roman" w:cs="Times New Roman"/>
          <w:sz w:val="24"/>
          <w:szCs w:val="24"/>
        </w:rPr>
        <w:t>. Другие аргументируют, что раскрытием доказательств является возложение на стороны взаимной обязанности ознакомить друг друга с письменными и иными документами</w:t>
      </w:r>
      <w:r>
        <w:rPr>
          <w:rStyle w:val="a7"/>
          <w:rFonts w:ascii="Times New Roman" w:hAnsi="Times New Roman" w:cs="Times New Roman"/>
          <w:sz w:val="24"/>
          <w:szCs w:val="24"/>
        </w:rPr>
        <w:footnoteReference w:id="190"/>
      </w:r>
      <w:r>
        <w:rPr>
          <w:rFonts w:ascii="Times New Roman" w:hAnsi="Times New Roman" w:cs="Times New Roman"/>
          <w:sz w:val="24"/>
          <w:szCs w:val="24"/>
        </w:rPr>
        <w:t>. Некоторые отмечают, что согласно требованиям судьи, при раскрытии доказательств - обе стороны обязаны поставить в известность друг друга и судью об имеющихся в их распоряжении доказательствах, которые они собираются представить в подтверждение своих возражений и требований</w:t>
      </w:r>
      <w:r>
        <w:rPr>
          <w:rStyle w:val="a7"/>
          <w:rFonts w:ascii="Times New Roman" w:hAnsi="Times New Roman" w:cs="Times New Roman"/>
          <w:sz w:val="24"/>
          <w:szCs w:val="24"/>
        </w:rPr>
        <w:footnoteReference w:id="191"/>
      </w:r>
      <w:r>
        <w:rPr>
          <w:rFonts w:ascii="Times New Roman" w:hAnsi="Times New Roman" w:cs="Times New Roman"/>
          <w:sz w:val="24"/>
          <w:szCs w:val="24"/>
        </w:rPr>
        <w:t>.</w:t>
      </w:r>
    </w:p>
    <w:p w14:paraId="08D3995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Рассматривая содержание действующей редакции АПК РФ и ГПК РФ, можно заметить, что в ст. 65 АПК РФ и 56 ГПК РФ используется понятие «раскрытие доказательств», но в данных статьях не раскрыто содержание данного понятия и детально не регламентируется порядок раскрытия доказательств. Законодательно не закреплен процессуальный порядок раскрытия доказательств.</w:t>
      </w:r>
    </w:p>
    <w:p w14:paraId="38AF8C0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rPr>
      </w:pPr>
      <w:r>
        <w:rPr>
          <w:rFonts w:ascii="Times New Roman" w:hAnsi="Times New Roman" w:cs="Times New Roman"/>
          <w:sz w:val="24"/>
          <w:szCs w:val="24"/>
        </w:rPr>
        <w:lastRenderedPageBreak/>
        <w:t>Отчасти проблемные аспекты можно разъяснить с помощью изучения судебной практики. Так в п. 16 Постановления Пленума ВАС РФ от 20.12.2006 г. № 65 «О подготовке дела к судебному разбирательству», под раскрытием доказательств понимается представление участвующим в деле лицам, по своей инициативе и по предложению суда другим лицам, участвующим в деле, и суду всех имеющихся у него доказательств, на основании которых могут быть установлены обстоятельства, обосновывающие его требования и возражения</w:t>
      </w:r>
      <w:r>
        <w:rPr>
          <w:rStyle w:val="a7"/>
          <w:rFonts w:ascii="Times New Roman" w:hAnsi="Times New Roman" w:cs="Times New Roman"/>
          <w:sz w:val="24"/>
          <w:szCs w:val="24"/>
        </w:rPr>
        <w:footnoteReference w:id="192"/>
      </w:r>
      <w:r>
        <w:rPr>
          <w:rFonts w:ascii="Times New Roman" w:hAnsi="Times New Roman" w:cs="Times New Roman"/>
          <w:sz w:val="24"/>
          <w:szCs w:val="24"/>
        </w:rPr>
        <w:t>. На основании вышеизложенного можно сделать вывод о том, что под раскрытием доказательств понимается не только их предоставление в суд, но и обмен состязательными документами между сторонами.</w:t>
      </w:r>
    </w:p>
    <w:p w14:paraId="419BE36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Рассмотрев различные подходы к понятию «раскрытие доказательств</w:t>
      </w:r>
      <w:r>
        <w:rPr>
          <w:rFonts w:ascii="Times New Roman" w:hAnsi="Times New Roman" w:cs="Times New Roman"/>
          <w:b/>
          <w:sz w:val="24"/>
          <w:szCs w:val="24"/>
        </w:rPr>
        <w:t>»</w:t>
      </w:r>
      <w:r>
        <w:rPr>
          <w:rFonts w:ascii="Times New Roman" w:hAnsi="Times New Roman" w:cs="Times New Roman"/>
          <w:sz w:val="24"/>
          <w:szCs w:val="24"/>
        </w:rPr>
        <w:t xml:space="preserve">, можно выделить определенные признаки: это действие по информированию сторонами друг друга о наличии доказательств, находящиеся в их распоряжении, о средствах доказывания, с помощью которых лицо намерено обосновывать свои требования и возражения, о их содержании. К еще одному признаку можно отнести действия по предоставлению копий доказательств другим лицам, участвующим в деле, и деятельность суда по предоставлению возможности лицам, участвующим в деле, заранее ознакомиться с имеющимися в материалах дела доказательствами. Также действия по извещению участников процесса о лицах, о допросе которых намерена ходатайствовать одна из сторон по делу, и относительно обстоятельств, которые может подтвердить это лицо. </w:t>
      </w:r>
    </w:p>
    <w:p w14:paraId="1470A23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Прежде мы акцентировали свое внимание на том, что процедура раскрытия доказательств непосредственно связана с реализацией принципа состязательности в судебном процессе. Вследствие чего можно утверждать, что нарушая правила раскрытия доказательств, участники процесса фактически нарушают основы принципа состязательности. Логично предположить, что подобное противоправное поведение должно влечь за собой соответствующие неблагоприятные процессуальные и правовые последствия.</w:t>
      </w:r>
    </w:p>
    <w:p w14:paraId="400CEF9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rPr>
      </w:pPr>
      <w:r>
        <w:rPr>
          <w:rFonts w:ascii="Times New Roman" w:hAnsi="Times New Roman" w:cs="Times New Roman"/>
          <w:sz w:val="24"/>
          <w:szCs w:val="24"/>
        </w:rPr>
        <w:t>Самостоятельной проблемой, требующей глубокого теоретического осмысления, на наш взгляд, представляются вопросы, связанные не только с доказыванием, но и с раскрытием доказательств  в случаях, когда заинтересованные лица ссылаются на отрицательные факты</w:t>
      </w:r>
      <w:r>
        <w:rPr>
          <w:rStyle w:val="a7"/>
          <w:rFonts w:ascii="Times New Roman" w:hAnsi="Times New Roman" w:cs="Times New Roman"/>
          <w:sz w:val="24"/>
          <w:szCs w:val="24"/>
        </w:rPr>
        <w:footnoteReference w:id="193"/>
      </w:r>
      <w:r>
        <w:rPr>
          <w:rFonts w:ascii="Times New Roman" w:hAnsi="Times New Roman" w:cs="Times New Roman"/>
          <w:sz w:val="24"/>
          <w:szCs w:val="24"/>
        </w:rPr>
        <w:t>. Учитывая сущность отрицательных фактов, полагаем, что по объективным причинам процесс их доказывания, и, соответственно, раскрытие доказательств, должно обладать определённой спецификой в регулировании.</w:t>
      </w:r>
    </w:p>
    <w:p w14:paraId="4B50C0E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rPr>
      </w:pPr>
      <w:r>
        <w:rPr>
          <w:rFonts w:ascii="Times New Roman" w:hAnsi="Times New Roman" w:cs="Times New Roman"/>
          <w:sz w:val="24"/>
          <w:szCs w:val="24"/>
        </w:rPr>
        <w:t xml:space="preserve"> В качестве ещё одной проблемы, относительно реального использования раскрытия доказательств в гражданском судопроизводстве, необходимо выделить применение ответственности (либо неблагоприятных правовых и процессуальных последствий) за нарушение сроков раскрытия доказательств. Так на сегодняшний день,  в случае нарушения правил раскрытия доказательств, законодатель предусмотрел следующие последствия, а именно:</w:t>
      </w:r>
    </w:p>
    <w:p w14:paraId="7406706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rPr>
      </w:pPr>
      <w:r>
        <w:rPr>
          <w:rFonts w:ascii="Times New Roman" w:hAnsi="Times New Roman" w:cs="Times New Roman"/>
          <w:sz w:val="24"/>
          <w:szCs w:val="24"/>
        </w:rPr>
        <w:t xml:space="preserve">1. За нарушение сроков раскрытия доказательств, наложить штраф фиксированного размера на недобросовестную сторону.   </w:t>
      </w:r>
    </w:p>
    <w:p w14:paraId="3614237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 При несоблюдении установленных требований по раскрытию доказательств и злоупотреблении своими процессуальными правами, на сторону будет налагаться обязанность по несению всех судебных расходов.</w:t>
      </w:r>
    </w:p>
    <w:p w14:paraId="3DA1A80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Мы считаем, что крайне необходимо внести изменения в 6 главу ГПК РФ «Доказательства и доказывание». В ней необходимо установить процессуальную форму раскрытия конкретных средств доказывания, закрепить, что понимается под «раскрытием доказательств», а также указать обязательные временные критерии исполнения обозначенной </w:t>
      </w:r>
      <w:r>
        <w:rPr>
          <w:rFonts w:ascii="Times New Roman" w:hAnsi="Times New Roman" w:cs="Times New Roman"/>
          <w:sz w:val="24"/>
          <w:szCs w:val="24"/>
        </w:rPr>
        <w:lastRenderedPageBreak/>
        <w:t xml:space="preserve">обязанности, например, ограничить во времени раскрытие доказательств и обязать   предоставлять доказательства и совершать необходимые действия по их раскрытию на стадии подготовки дела к судебному разбирательству. Это необходимо для того, чтобы другая сторона имела такой шанс, как ознакомление с предоставленными доказательствами до рассмотрения дела по существу. Обмен имеющимися доказательствами в судебном заседании должен быть возможен только при наличии уважительных причин о том, что заранее предоставление доказательств было невозможным. </w:t>
      </w:r>
    </w:p>
    <w:p w14:paraId="7DB7206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Таким образом, подводя итоги, мы предлагаем:</w:t>
      </w:r>
    </w:p>
    <w:p w14:paraId="7562FACA" w14:textId="77777777" w:rsidR="001B6C3B" w:rsidRDefault="001B6C3B" w:rsidP="00E3198A">
      <w:pPr>
        <w:pStyle w:val="a4"/>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 xml:space="preserve">Внести изменения в действующую редакцию ч. 3 ст. 56 ГПК РФ, сформулировав её следующим образом: </w:t>
      </w:r>
    </w:p>
    <w:p w14:paraId="713BFC75" w14:textId="77777777" w:rsidR="001B6C3B" w:rsidRDefault="001B6C3B" w:rsidP="001B6C3B">
      <w:pPr>
        <w:pStyle w:val="a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«Все представленные лицами доказательства должны быть обязательно раскрыты перед судом и иными участника процесса на стадии подготовки дела к судебному разбирательству, в сроки, установленные судом, если иное не установлено настоящим Кодексом».</w:t>
      </w:r>
    </w:p>
    <w:p w14:paraId="2551160F" w14:textId="77777777" w:rsidR="001B6C3B" w:rsidRDefault="001B6C3B" w:rsidP="00E3198A">
      <w:pPr>
        <w:pStyle w:val="a4"/>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Так же действующую редакцию ГПК РФ дополнить новой статьёй «Порядок раскрытия доказательств», содержащей положения о понятии раскрытия доказательств и определяющей порядок раскрытия отдельных средств доказывания:</w:t>
      </w:r>
    </w:p>
    <w:p w14:paraId="32C7F32D" w14:textId="77777777" w:rsidR="001B6C3B" w:rsidRDefault="001B6C3B" w:rsidP="001B6C3B">
      <w:pPr>
        <w:pStyle w:val="a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«Раскрытие доказательств  состоит из  указания на доказательства и представления их для ознакомления суду и лицам, участвующим в деле.</w:t>
      </w:r>
    </w:p>
    <w:p w14:paraId="3BC8C1E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Личные доказательства - объяснения сторон и третьих лиц  раскрываются  посредством ознакомления с содержанием  искового заявления, возражений на исковое заявление.</w:t>
      </w:r>
    </w:p>
    <w:p w14:paraId="1FC318A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Раскрытие письменных, вещественных доказательств, а также аудио- и видеозаписей  осуществляется предоставлением их оригиналов (либо копий)  для ознакомления с содержанием  доказательства.</w:t>
      </w:r>
    </w:p>
    <w:p w14:paraId="1A967E5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Раскрытие свидетельских показаний происходит посредством письменного указания  на лицо, являющееся свидетелем по делу,  а также  на те сведения, для подтверждения или опровержения которых привлекается свидетель.</w:t>
      </w:r>
    </w:p>
    <w:p w14:paraId="1A78984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Заключение эксперта раскрывается путем сообщения лицам, участвующим в деле, сведений о вопросах, поставленных перед экспертом, а также предоставлением для ознакомления письменного текста заключения эксперта».</w:t>
      </w:r>
    </w:p>
    <w:p w14:paraId="1F75E39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Подобные нововведения необходимы, так как сравнительно молодой в нашей стране институт раскрытия доказательств нуждается в дальнейшем развитии.</w:t>
      </w:r>
    </w:p>
    <w:p w14:paraId="08A9A40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4"/>
          <w:szCs w:val="24"/>
        </w:rPr>
      </w:pPr>
    </w:p>
    <w:p w14:paraId="6F06578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p>
    <w:p w14:paraId="61592F6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sz w:val="24"/>
          <w:szCs w:val="24"/>
        </w:rPr>
      </w:pPr>
      <w:r>
        <w:rPr>
          <w:rFonts w:ascii="Times New Roman" w:hAnsi="Times New Roman" w:cs="Times New Roman"/>
          <w:b/>
          <w:sz w:val="24"/>
          <w:szCs w:val="24"/>
        </w:rPr>
        <w:t>Библиографический список</w:t>
      </w:r>
    </w:p>
    <w:p w14:paraId="357CA6B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p>
    <w:p w14:paraId="0A15611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1. Елисеев Н.Г. Раскрытие доказательств // Закон. 2014. N 10. – 50 с.</w:t>
      </w:r>
    </w:p>
    <w:p w14:paraId="713ADE0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2. Лукьянова И.Н. Доказательства в арбитражном процессе: Дис. ... канд. юрид. наук. М, 2003. – 21 с.</w:t>
      </w:r>
    </w:p>
    <w:p w14:paraId="7A64027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3. Терехова Л.А. Система пересмотра судебных актов в механизме судебной защиты. М., 2007. – 161 с.</w:t>
      </w:r>
    </w:p>
    <w:p w14:paraId="69BE6B8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4. Треушников М.К. Судебные доказательства. М.: Издательский дом «Городец», 2005. – 90 с.</w:t>
      </w:r>
    </w:p>
    <w:p w14:paraId="492F5EE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5. Кадлец В.А., Зеленская Л.А. К вопросу о доказывании отрицательных фактов // Научное обеспечение агропромышленного комплекса. Сборник статей по материалам Х Всероссийской конференции молодых учёных, посвящённой 120-летию  И.С.Косенко. Отв. за вып. А.Г.Кощаев. 2017. – 778-779 с.</w:t>
      </w:r>
    </w:p>
    <w:p w14:paraId="395977E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sectPr w:rsidR="001B6C3B">
          <w:footnotePr>
            <w:numRestart w:val="eachPage"/>
          </w:footnotePr>
          <w:pgSz w:w="11906" w:h="16838"/>
          <w:pgMar w:top="1134" w:right="1134" w:bottom="1134" w:left="1134" w:header="709" w:footer="709" w:gutter="0"/>
          <w:cols w:space="720"/>
        </w:sectPr>
      </w:pPr>
    </w:p>
    <w:p w14:paraId="385894A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111"/>
        <w:jc w:val="both"/>
        <w:rPr>
          <w:rFonts w:ascii="Times New Roman" w:hAnsi="Times New Roman" w:cs="Times New Roman"/>
          <w:b/>
          <w:sz w:val="24"/>
          <w:szCs w:val="24"/>
        </w:rPr>
      </w:pPr>
      <w:r>
        <w:rPr>
          <w:rFonts w:ascii="Times New Roman" w:hAnsi="Times New Roman" w:cs="Times New Roman"/>
          <w:b/>
          <w:sz w:val="24"/>
          <w:szCs w:val="24"/>
        </w:rPr>
        <w:lastRenderedPageBreak/>
        <w:t>УДК 347.121.2</w:t>
      </w:r>
    </w:p>
    <w:p w14:paraId="394CBBEA"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111"/>
        <w:jc w:val="both"/>
        <w:rPr>
          <w:rFonts w:ascii="Times New Roman" w:hAnsi="Times New Roman" w:cs="Times New Roman"/>
          <w:b/>
          <w:sz w:val="24"/>
          <w:szCs w:val="24"/>
        </w:rPr>
      </w:pPr>
      <w:r>
        <w:rPr>
          <w:rFonts w:ascii="Times New Roman" w:hAnsi="Times New Roman" w:cs="Times New Roman"/>
          <w:b/>
          <w:sz w:val="24"/>
          <w:szCs w:val="24"/>
        </w:rPr>
        <w:t>Кончаков Александр Борисович</w:t>
      </w:r>
    </w:p>
    <w:p w14:paraId="4FD1DEA4"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111"/>
        <w:jc w:val="both"/>
        <w:rPr>
          <w:rFonts w:ascii="Times New Roman" w:hAnsi="Times New Roman" w:cs="Times New Roman"/>
          <w:b/>
          <w:sz w:val="24"/>
          <w:szCs w:val="24"/>
        </w:rPr>
      </w:pPr>
      <w:r>
        <w:rPr>
          <w:rFonts w:ascii="Times New Roman" w:hAnsi="Times New Roman" w:cs="Times New Roman"/>
          <w:b/>
          <w:sz w:val="24"/>
          <w:szCs w:val="24"/>
          <w:lang w:val="en-US"/>
        </w:rPr>
        <w:t>Konchakov</w:t>
      </w:r>
      <w:r w:rsidRPr="00430C1C">
        <w:rPr>
          <w:rFonts w:ascii="Times New Roman" w:hAnsi="Times New Roman" w:cs="Times New Roman"/>
          <w:b/>
          <w:sz w:val="24"/>
          <w:szCs w:val="24"/>
        </w:rPr>
        <w:t xml:space="preserve"> </w:t>
      </w:r>
      <w:r>
        <w:rPr>
          <w:rFonts w:ascii="Times New Roman" w:hAnsi="Times New Roman" w:cs="Times New Roman"/>
          <w:b/>
          <w:sz w:val="24"/>
          <w:szCs w:val="24"/>
          <w:lang w:val="en-US"/>
        </w:rPr>
        <w:t>Alexander</w:t>
      </w:r>
      <w:r w:rsidRPr="00430C1C">
        <w:rPr>
          <w:rFonts w:ascii="Times New Roman" w:hAnsi="Times New Roman" w:cs="Times New Roman"/>
          <w:b/>
          <w:sz w:val="24"/>
          <w:szCs w:val="24"/>
        </w:rPr>
        <w:t xml:space="preserve"> </w:t>
      </w:r>
      <w:r>
        <w:rPr>
          <w:rFonts w:ascii="Times New Roman" w:hAnsi="Times New Roman" w:cs="Times New Roman"/>
          <w:b/>
          <w:sz w:val="24"/>
          <w:szCs w:val="24"/>
          <w:lang w:val="en-US"/>
        </w:rPr>
        <w:t>Borisovich</w:t>
      </w:r>
    </w:p>
    <w:p w14:paraId="4157233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111"/>
        <w:jc w:val="both"/>
        <w:rPr>
          <w:rFonts w:ascii="Times New Roman" w:hAnsi="Times New Roman" w:cs="Times New Roman"/>
          <w:sz w:val="24"/>
          <w:szCs w:val="24"/>
        </w:rPr>
      </w:pPr>
      <w:r>
        <w:rPr>
          <w:rFonts w:ascii="Times New Roman" w:hAnsi="Times New Roman" w:cs="Times New Roman"/>
          <w:sz w:val="24"/>
          <w:szCs w:val="24"/>
        </w:rPr>
        <w:t>преподаватель кафедры гражданского права Федеральное государственное бюджетное образовательное учреждение высшего образования «Кубанский государственный аграрный университет имени И.Т. Трубилина»</w:t>
      </w:r>
    </w:p>
    <w:p w14:paraId="46EF4641"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111"/>
        <w:jc w:val="both"/>
        <w:rPr>
          <w:rFonts w:ascii="Times New Roman" w:hAnsi="Times New Roman" w:cs="Times New Roman"/>
          <w:sz w:val="24"/>
          <w:szCs w:val="24"/>
          <w:lang w:val="en-US"/>
        </w:rPr>
      </w:pPr>
      <w:r>
        <w:rPr>
          <w:rFonts w:ascii="Times New Roman" w:hAnsi="Times New Roman" w:cs="Times New Roman"/>
          <w:sz w:val="24"/>
          <w:szCs w:val="24"/>
          <w:lang w:val="en-US"/>
        </w:rPr>
        <w:t>teacher of the Department of civil law</w:t>
      </w:r>
    </w:p>
    <w:p w14:paraId="646711D0"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111"/>
        <w:jc w:val="both"/>
        <w:rPr>
          <w:lang w:eastAsia="en-US"/>
        </w:rPr>
      </w:pPr>
      <w:r>
        <w:rPr>
          <w:lang w:eastAsia="en-US"/>
        </w:rPr>
        <w:t>Federal State Budgetary Educational Institution of Higher Education</w:t>
      </w:r>
    </w:p>
    <w:p w14:paraId="61234F79"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111"/>
        <w:jc w:val="both"/>
        <w:rPr>
          <w:lang w:eastAsia="en-US"/>
        </w:rPr>
      </w:pPr>
      <w:r>
        <w:rPr>
          <w:lang w:eastAsia="en-US"/>
        </w:rPr>
        <w:t>“Kuban State Agrarian University named after I.T. Trubilin”</w:t>
      </w:r>
    </w:p>
    <w:p w14:paraId="22ACB8EA"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111"/>
        <w:jc w:val="both"/>
        <w:rPr>
          <w:lang w:val="ru-RU" w:eastAsia="en-US"/>
        </w:rPr>
      </w:pPr>
      <w:r>
        <w:rPr>
          <w:lang w:val="ru-RU" w:eastAsia="en-US"/>
        </w:rPr>
        <w:t>Российская Федерация, г. Краснодар</w:t>
      </w:r>
    </w:p>
    <w:p w14:paraId="573EA852"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111"/>
        <w:jc w:val="both"/>
        <w:rPr>
          <w:lang w:val="ru-RU" w:eastAsia="en-US"/>
        </w:rPr>
      </w:pPr>
      <w:r>
        <w:rPr>
          <w:lang w:eastAsia="en-US"/>
        </w:rPr>
        <w:t>Russian</w:t>
      </w:r>
      <w:r>
        <w:rPr>
          <w:lang w:val="ru-RU" w:eastAsia="en-US"/>
        </w:rPr>
        <w:t xml:space="preserve"> </w:t>
      </w:r>
      <w:r>
        <w:rPr>
          <w:lang w:eastAsia="en-US"/>
        </w:rPr>
        <w:t>Federation</w:t>
      </w:r>
      <w:r>
        <w:rPr>
          <w:lang w:val="ru-RU" w:eastAsia="en-US"/>
        </w:rPr>
        <w:t xml:space="preserve">, </w:t>
      </w:r>
      <w:r>
        <w:rPr>
          <w:lang w:eastAsia="en-US"/>
        </w:rPr>
        <w:t>Krasnodar</w:t>
      </w:r>
    </w:p>
    <w:p w14:paraId="19CC3E4A"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111"/>
        <w:jc w:val="both"/>
        <w:rPr>
          <w:rFonts w:ascii="Times New Roman" w:hAnsi="Times New Roman" w:cs="Times New Roman"/>
          <w:sz w:val="24"/>
          <w:szCs w:val="24"/>
        </w:rPr>
      </w:pPr>
      <w:r>
        <w:rPr>
          <w:rFonts w:ascii="Times New Roman" w:hAnsi="Times New Roman" w:cs="Times New Roman"/>
          <w:sz w:val="24"/>
          <w:szCs w:val="24"/>
          <w:lang w:val="en-US"/>
        </w:rPr>
        <w:t>abk</w:t>
      </w:r>
      <w:r>
        <w:rPr>
          <w:rFonts w:ascii="Times New Roman" w:hAnsi="Times New Roman" w:cs="Times New Roman"/>
          <w:sz w:val="24"/>
          <w:szCs w:val="24"/>
        </w:rPr>
        <w:t>23@</w:t>
      </w:r>
      <w:r>
        <w:rPr>
          <w:rFonts w:ascii="Times New Roman" w:hAnsi="Times New Roman" w:cs="Times New Roman"/>
          <w:sz w:val="24"/>
          <w:szCs w:val="24"/>
          <w:lang w:val="en-US"/>
        </w:rPr>
        <w:t>list</w:t>
      </w:r>
      <w:r>
        <w:rPr>
          <w:rFonts w:ascii="Times New Roman" w:hAnsi="Times New Roman" w:cs="Times New Roman"/>
          <w:sz w:val="24"/>
          <w:szCs w:val="24"/>
        </w:rPr>
        <w:t>.</w:t>
      </w:r>
      <w:r>
        <w:rPr>
          <w:rFonts w:ascii="Times New Roman" w:hAnsi="Times New Roman" w:cs="Times New Roman"/>
          <w:sz w:val="24"/>
          <w:szCs w:val="24"/>
          <w:lang w:val="en-US"/>
        </w:rPr>
        <w:t>ru</w:t>
      </w:r>
    </w:p>
    <w:p w14:paraId="4B7E50F5"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111"/>
        <w:jc w:val="both"/>
        <w:rPr>
          <w:rFonts w:ascii="Times New Roman" w:hAnsi="Times New Roman" w:cs="Times New Roman"/>
          <w:b/>
          <w:sz w:val="24"/>
          <w:szCs w:val="24"/>
        </w:rPr>
      </w:pPr>
      <w:r>
        <w:rPr>
          <w:rFonts w:ascii="Times New Roman" w:hAnsi="Times New Roman" w:cs="Times New Roman"/>
          <w:b/>
          <w:sz w:val="24"/>
          <w:szCs w:val="24"/>
        </w:rPr>
        <w:t>Коржов Дмитрий Михайлович</w:t>
      </w:r>
    </w:p>
    <w:p w14:paraId="47F4AA0F"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111"/>
        <w:jc w:val="both"/>
        <w:rPr>
          <w:rFonts w:ascii="Times New Roman" w:hAnsi="Times New Roman" w:cs="Times New Roman"/>
          <w:b/>
          <w:sz w:val="24"/>
          <w:szCs w:val="24"/>
        </w:rPr>
      </w:pPr>
      <w:r>
        <w:rPr>
          <w:rFonts w:ascii="Times New Roman" w:hAnsi="Times New Roman" w:cs="Times New Roman"/>
          <w:b/>
          <w:sz w:val="24"/>
          <w:szCs w:val="24"/>
          <w:lang w:val="en-US"/>
        </w:rPr>
        <w:t>Korzhov</w:t>
      </w:r>
      <w:r w:rsidRPr="00430C1C">
        <w:rPr>
          <w:rFonts w:ascii="Times New Roman" w:hAnsi="Times New Roman" w:cs="Times New Roman"/>
          <w:b/>
          <w:sz w:val="24"/>
          <w:szCs w:val="24"/>
        </w:rPr>
        <w:t xml:space="preserve"> </w:t>
      </w:r>
      <w:r>
        <w:rPr>
          <w:rFonts w:ascii="Times New Roman" w:hAnsi="Times New Roman" w:cs="Times New Roman"/>
          <w:b/>
          <w:sz w:val="24"/>
          <w:szCs w:val="24"/>
          <w:lang w:val="en-US"/>
        </w:rPr>
        <w:t>Dmitry</w:t>
      </w:r>
      <w:r w:rsidRPr="00430C1C">
        <w:rPr>
          <w:rFonts w:ascii="Times New Roman" w:hAnsi="Times New Roman" w:cs="Times New Roman"/>
          <w:b/>
          <w:sz w:val="24"/>
          <w:szCs w:val="24"/>
        </w:rPr>
        <w:t xml:space="preserve"> </w:t>
      </w:r>
      <w:r>
        <w:rPr>
          <w:rFonts w:ascii="Times New Roman" w:hAnsi="Times New Roman" w:cs="Times New Roman"/>
          <w:b/>
          <w:sz w:val="24"/>
          <w:szCs w:val="24"/>
          <w:lang w:val="en-US"/>
        </w:rPr>
        <w:t>Mikhailovich</w:t>
      </w:r>
    </w:p>
    <w:p w14:paraId="102CE03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111"/>
        <w:jc w:val="both"/>
        <w:rPr>
          <w:rFonts w:ascii="Times New Roman" w:hAnsi="Times New Roman" w:cs="Times New Roman"/>
          <w:sz w:val="24"/>
          <w:szCs w:val="24"/>
        </w:rPr>
      </w:pPr>
      <w:r>
        <w:rPr>
          <w:rFonts w:ascii="Times New Roman" w:hAnsi="Times New Roman" w:cs="Times New Roman"/>
          <w:sz w:val="24"/>
          <w:szCs w:val="24"/>
        </w:rPr>
        <w:t>бакалавр Федеральное государственное бюджетное образовательное учреждение высшего образования «Кубанский государственный аграрный университет имени И.Т. Трубилина»</w:t>
      </w:r>
    </w:p>
    <w:p w14:paraId="24A32F05"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111"/>
        <w:jc w:val="both"/>
        <w:rPr>
          <w:lang w:eastAsia="en-US"/>
        </w:rPr>
      </w:pPr>
      <w:r>
        <w:rPr>
          <w:lang w:eastAsia="en-US"/>
        </w:rPr>
        <w:t>Federal State Budgetary Educational Institution of Higher Education</w:t>
      </w:r>
    </w:p>
    <w:p w14:paraId="234FA8C3"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111"/>
        <w:jc w:val="both"/>
        <w:rPr>
          <w:lang w:eastAsia="en-US"/>
        </w:rPr>
      </w:pPr>
      <w:r>
        <w:rPr>
          <w:lang w:eastAsia="en-US"/>
        </w:rPr>
        <w:t>“Kuban State Agrarian University named after I.T. Trubilin”</w:t>
      </w:r>
    </w:p>
    <w:p w14:paraId="420A016E"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111"/>
        <w:jc w:val="both"/>
        <w:rPr>
          <w:lang w:val="ru-RU" w:eastAsia="en-US"/>
        </w:rPr>
      </w:pPr>
      <w:r>
        <w:rPr>
          <w:lang w:val="ru-RU" w:eastAsia="en-US"/>
        </w:rPr>
        <w:t>Российская Федерация, г. Краснодар</w:t>
      </w:r>
    </w:p>
    <w:p w14:paraId="14E5A278"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111"/>
        <w:jc w:val="both"/>
        <w:rPr>
          <w:lang w:val="ru-RU" w:eastAsia="en-US"/>
        </w:rPr>
      </w:pPr>
      <w:r>
        <w:rPr>
          <w:lang w:eastAsia="en-US"/>
        </w:rPr>
        <w:t>Russian</w:t>
      </w:r>
      <w:r>
        <w:rPr>
          <w:lang w:val="ru-RU" w:eastAsia="en-US"/>
        </w:rPr>
        <w:t xml:space="preserve"> </w:t>
      </w:r>
      <w:r>
        <w:rPr>
          <w:lang w:eastAsia="en-US"/>
        </w:rPr>
        <w:t>Federation</w:t>
      </w:r>
      <w:r>
        <w:rPr>
          <w:lang w:val="ru-RU" w:eastAsia="en-US"/>
        </w:rPr>
        <w:t xml:space="preserve">, </w:t>
      </w:r>
      <w:r>
        <w:rPr>
          <w:lang w:eastAsia="en-US"/>
        </w:rPr>
        <w:t>Krasnodar</w:t>
      </w:r>
    </w:p>
    <w:p w14:paraId="4896905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111"/>
        <w:jc w:val="both"/>
        <w:rPr>
          <w:rFonts w:ascii="Times New Roman" w:hAnsi="Times New Roman" w:cs="Times New Roman"/>
          <w:sz w:val="24"/>
          <w:szCs w:val="24"/>
        </w:rPr>
      </w:pPr>
      <w:r>
        <w:rPr>
          <w:rFonts w:ascii="Times New Roman" w:hAnsi="Times New Roman" w:cs="Times New Roman"/>
          <w:sz w:val="24"/>
          <w:szCs w:val="24"/>
          <w:lang w:val="en-US"/>
        </w:rPr>
        <w:t>dimakorzov</w:t>
      </w:r>
      <w:r>
        <w:rPr>
          <w:rFonts w:ascii="Times New Roman" w:hAnsi="Times New Roman" w:cs="Times New Roman"/>
          <w:sz w:val="24"/>
          <w:szCs w:val="24"/>
        </w:rPr>
        <w:t>977@</w:t>
      </w:r>
      <w:r>
        <w:rPr>
          <w:rFonts w:ascii="Times New Roman" w:hAnsi="Times New Roman" w:cs="Times New Roman"/>
          <w:sz w:val="24"/>
          <w:szCs w:val="24"/>
          <w:lang w:val="en-US"/>
        </w:rPr>
        <w:t>gmail</w:t>
      </w:r>
      <w:r>
        <w:rPr>
          <w:rFonts w:ascii="Times New Roman" w:hAnsi="Times New Roman" w:cs="Times New Roman"/>
          <w:sz w:val="24"/>
          <w:szCs w:val="24"/>
        </w:rPr>
        <w:t>.</w:t>
      </w:r>
      <w:r>
        <w:rPr>
          <w:rFonts w:ascii="Times New Roman" w:hAnsi="Times New Roman" w:cs="Times New Roman"/>
          <w:sz w:val="24"/>
          <w:szCs w:val="24"/>
          <w:lang w:val="en-US"/>
        </w:rPr>
        <w:t>com</w:t>
      </w:r>
    </w:p>
    <w:p w14:paraId="532C1CA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hAnsi="Times New Roman" w:cs="Times New Roman"/>
          <w:b/>
          <w:sz w:val="24"/>
          <w:szCs w:val="24"/>
        </w:rPr>
      </w:pPr>
    </w:p>
    <w:p w14:paraId="5E54956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hAnsi="Times New Roman" w:cs="Times New Roman"/>
          <w:b/>
          <w:sz w:val="24"/>
          <w:szCs w:val="24"/>
        </w:rPr>
      </w:pPr>
      <w:r>
        <w:rPr>
          <w:rFonts w:ascii="Times New Roman" w:hAnsi="Times New Roman" w:cs="Times New Roman"/>
          <w:b/>
          <w:sz w:val="24"/>
          <w:szCs w:val="24"/>
        </w:rPr>
        <w:t>К ВОПРОСУ О ПРАВОСУБЪЕКТНОСТИ ПУБЛИЧНО – ПРАВОВЫХ ОБРАЗВАНИЙ В ГРАЖДАНСКИХ ПРАВООТНОШЕНИЯХ.</w:t>
      </w:r>
    </w:p>
    <w:p w14:paraId="6DF45C9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hAnsi="Times New Roman" w:cs="Times New Roman"/>
          <w:b/>
          <w:sz w:val="24"/>
          <w:szCs w:val="24"/>
        </w:rPr>
      </w:pPr>
    </w:p>
    <w:p w14:paraId="52920F2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Аннотация: Статья посвящена изучению правосубъектности публично – правовых образований. Целью которого является понимание места публично – правовых образований в гражданских правоотношениях. С помощью методов описания и сравнения, на конкретных примерах мы должны прийти к выводу, что специальной правосубъектность публично – правовых образований, обусловлена специальными целями и их компетенцией.</w:t>
      </w:r>
      <w:r>
        <w:rPr>
          <w:rFonts w:ascii="Times New Roman" w:hAnsi="Times New Roman" w:cs="Times New Roman"/>
          <w:sz w:val="24"/>
          <w:szCs w:val="24"/>
        </w:rPr>
        <w:tab/>
      </w:r>
    </w:p>
    <w:p w14:paraId="485D6C9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Ключевые слова: Российская Федерация, субъекты Российской Федерации,  гражданские правоотношения, место в гражданском обороте,  публично-правовые образования, исключительная правосубъектность, принципы правосубъектности, разделение полномочий, ограничение, властные полномочия. </w:t>
      </w:r>
    </w:p>
    <w:p w14:paraId="431BD9F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lang w:val="en-US"/>
        </w:rPr>
      </w:pPr>
      <w:r>
        <w:rPr>
          <w:rFonts w:ascii="Times New Roman" w:hAnsi="Times New Roman" w:cs="Times New Roman"/>
          <w:i/>
          <w:iCs/>
          <w:sz w:val="24"/>
          <w:szCs w:val="24"/>
          <w:lang w:val="en-US" w:bidi="en-US"/>
        </w:rPr>
        <w:t>Keywords</w:t>
      </w:r>
      <w:r>
        <w:rPr>
          <w:rFonts w:ascii="Times New Roman" w:hAnsi="Times New Roman" w:cs="Times New Roman"/>
          <w:iCs/>
          <w:sz w:val="24"/>
          <w:szCs w:val="24"/>
          <w:lang w:val="en-US" w:bidi="en-US"/>
        </w:rPr>
        <w:t xml:space="preserve">: </w:t>
      </w:r>
      <w:r>
        <w:rPr>
          <w:rFonts w:ascii="Times New Roman" w:hAnsi="Times New Roman" w:cs="Times New Roman"/>
          <w:sz w:val="24"/>
          <w:szCs w:val="24"/>
          <w:lang w:val="en-US"/>
        </w:rPr>
        <w:t>Russian Federation, subjects of the Russian Federation, civil relations, place in civil circulation, public legal entities, exclusive legal personality, principles of legal personality, separation of powers, restriction, power.</w:t>
      </w:r>
    </w:p>
    <w:p w14:paraId="1E867F6D" w14:textId="77777777" w:rsidR="001B6C3B" w:rsidRPr="00430C1C"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Style w:val="FontStyle19"/>
          <w:i w:val="0"/>
          <w:sz w:val="24"/>
          <w:szCs w:val="24"/>
          <w:lang w:val="en-US"/>
        </w:rPr>
      </w:pPr>
      <w:r>
        <w:rPr>
          <w:rStyle w:val="FontStyle19"/>
          <w:sz w:val="24"/>
          <w:szCs w:val="24"/>
          <w:lang w:val="en-US"/>
        </w:rPr>
        <w:t>Аnnotation: The article is devoted to the study of the legal personality of public legal entities. The purpose of which is to understand the place of public legal entities in civil legal relations. With the help of methods of description and comparison, on specific examples, we must conclude that the special legal personality of public legal entities is due to special purposes and their competence.</w:t>
      </w:r>
    </w:p>
    <w:p w14:paraId="28D33B23" w14:textId="77777777" w:rsidR="001B6C3B" w:rsidRPr="00430C1C"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lang w:val="en-US"/>
        </w:rPr>
      </w:pPr>
      <w:r>
        <w:rPr>
          <w:rFonts w:ascii="Times New Roman" w:hAnsi="Times New Roman" w:cs="Times New Roman"/>
          <w:i/>
          <w:iCs/>
          <w:sz w:val="24"/>
          <w:szCs w:val="24"/>
          <w:lang w:val="en-US" w:bidi="en-US"/>
        </w:rPr>
        <w:t>Keywords</w:t>
      </w:r>
      <w:r>
        <w:rPr>
          <w:rFonts w:ascii="Times New Roman" w:hAnsi="Times New Roman" w:cs="Times New Roman"/>
          <w:iCs/>
          <w:sz w:val="24"/>
          <w:szCs w:val="24"/>
          <w:lang w:val="en-US" w:bidi="en-US"/>
        </w:rPr>
        <w:t xml:space="preserve">: </w:t>
      </w:r>
      <w:r>
        <w:rPr>
          <w:rFonts w:ascii="Times New Roman" w:hAnsi="Times New Roman" w:cs="Times New Roman"/>
          <w:sz w:val="24"/>
          <w:szCs w:val="24"/>
          <w:lang w:val="en-US"/>
        </w:rPr>
        <w:t>Russian Federation, subjects of the Russian Federation, civil relations, place in civil circulation, public legal entities, exclusive legal personality, principles of legal personality, separation of powers, restriction, power.</w:t>
      </w:r>
    </w:p>
    <w:p w14:paraId="4A906C9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Юридический факт – основа возникновения любого правоотношения.  Российская Федерация такой же полноправный участник гражданских правоотношений, как физические, так и юридические лица. Следует добавить, что “…единственным источником власти в Российской Федерации является её многонациональный народ”</w:t>
      </w:r>
      <w:r>
        <w:rPr>
          <w:rStyle w:val="a7"/>
          <w:rFonts w:ascii="Times New Roman" w:hAnsi="Times New Roman" w:cs="Times New Roman"/>
          <w:sz w:val="24"/>
          <w:szCs w:val="24"/>
        </w:rPr>
        <w:footnoteReference w:id="194"/>
      </w:r>
      <w:r>
        <w:rPr>
          <w:rFonts w:ascii="Times New Roman" w:hAnsi="Times New Roman" w:cs="Times New Roman"/>
          <w:sz w:val="24"/>
          <w:szCs w:val="24"/>
        </w:rPr>
        <w:t>. Тем не менее, Российская Федерация реализуя это выступает носителем публичной власти. Возникает угроза нарушения одного из  принципов гражданского права – принципа юридического  равенства участников гражданских правоотношений. Во избежание этого Гражданский кодекс закрепил, что “Российская Федерация … выступает в отношениях, регулируемых гражданским законодательством, на равных началах с … гражданами и юридическими лицами”</w:t>
      </w:r>
      <w:r>
        <w:rPr>
          <w:rStyle w:val="a7"/>
          <w:rFonts w:ascii="Times New Roman" w:hAnsi="Times New Roman" w:cs="Times New Roman"/>
          <w:sz w:val="24"/>
          <w:szCs w:val="24"/>
        </w:rPr>
        <w:footnoteReference w:id="195"/>
      </w:r>
      <w:r>
        <w:rPr>
          <w:rFonts w:ascii="Times New Roman" w:hAnsi="Times New Roman" w:cs="Times New Roman"/>
          <w:sz w:val="24"/>
          <w:szCs w:val="24"/>
        </w:rPr>
        <w:t>. Это означает, что Российская Федерация хоть и несёт характер властно принудительного воздействия, тем не менее обладает правосубъектностью на общих основаниях.  Интересен вопрос, для чего же понадобилось выделять Российскую Федерацию как отдельный субъект гражданского права? Такое решение – следствие исторического и формационного развития общества. Дело в том, что с появлением социалистического государства в 1917 году произошла национализация собственности, провозгласившая земельный фонд общенародным и отменившая частную собственность на землю. Гражданский кодекс РСФСР 1922 года утвердил “принадлежность всех форм собственности исключительно государству”</w:t>
      </w:r>
      <w:r>
        <w:rPr>
          <w:rStyle w:val="a7"/>
          <w:rFonts w:ascii="Times New Roman" w:hAnsi="Times New Roman" w:cs="Times New Roman"/>
          <w:sz w:val="24"/>
          <w:szCs w:val="24"/>
        </w:rPr>
        <w:footnoteReference w:id="196"/>
      </w:r>
      <w:r>
        <w:rPr>
          <w:rFonts w:ascii="Times New Roman" w:hAnsi="Times New Roman" w:cs="Times New Roman"/>
          <w:sz w:val="24"/>
          <w:szCs w:val="24"/>
        </w:rPr>
        <w:t>. Это привело “…к отсутствию самостоятельной юридической личности органов государства… единственным выводом было то, что государство само с собой вступает в указанные отношения, поскольку его органы действуют исключительно от его имени”</w:t>
      </w:r>
      <w:r>
        <w:rPr>
          <w:rStyle w:val="a7"/>
          <w:rFonts w:ascii="Times New Roman" w:hAnsi="Times New Roman" w:cs="Times New Roman"/>
          <w:sz w:val="24"/>
          <w:szCs w:val="24"/>
        </w:rPr>
        <w:footnoteReference w:id="197"/>
      </w:r>
      <w:r>
        <w:rPr>
          <w:rFonts w:ascii="Times New Roman" w:hAnsi="Times New Roman" w:cs="Times New Roman"/>
          <w:sz w:val="24"/>
          <w:szCs w:val="24"/>
        </w:rPr>
        <w:t>. Решено было наделить органы государственной власти правом оперативного управления. При этом государство не признавалось субъектом гражданского правовых отношений. Оно существовало вне его. В гражданско – правовом обороте выступали органы, от имени государства. Признавая все формы собственности, капиталистическая формация позволяет убрать эту проблему в действующем гражданском кодексе. Тем не менее, в теории гражданского права нет общего мнения по поводу правосубъектности публичных образований. Одни характеризуют её как “универсальную”</w:t>
      </w:r>
      <w:r>
        <w:rPr>
          <w:rStyle w:val="a7"/>
          <w:rFonts w:ascii="Times New Roman" w:hAnsi="Times New Roman" w:cs="Times New Roman"/>
          <w:sz w:val="24"/>
          <w:szCs w:val="24"/>
        </w:rPr>
        <w:footnoteReference w:id="198"/>
      </w:r>
      <w:r>
        <w:rPr>
          <w:rFonts w:ascii="Times New Roman" w:hAnsi="Times New Roman" w:cs="Times New Roman"/>
          <w:sz w:val="24"/>
          <w:szCs w:val="24"/>
        </w:rPr>
        <w:t>, другие как “общую”</w:t>
      </w:r>
      <w:r>
        <w:rPr>
          <w:rStyle w:val="a7"/>
          <w:rFonts w:ascii="Times New Roman" w:hAnsi="Times New Roman" w:cs="Times New Roman"/>
          <w:sz w:val="24"/>
          <w:szCs w:val="24"/>
        </w:rPr>
        <w:footnoteReference w:id="199"/>
      </w:r>
      <w:r>
        <w:rPr>
          <w:rFonts w:ascii="Times New Roman" w:hAnsi="Times New Roman" w:cs="Times New Roman"/>
          <w:sz w:val="24"/>
          <w:szCs w:val="24"/>
        </w:rPr>
        <w:t xml:space="preserve"> или “специальную”</w:t>
      </w:r>
      <w:r>
        <w:rPr>
          <w:rStyle w:val="a7"/>
          <w:rFonts w:ascii="Times New Roman" w:hAnsi="Times New Roman" w:cs="Times New Roman"/>
          <w:sz w:val="24"/>
          <w:szCs w:val="24"/>
        </w:rPr>
        <w:footnoteReference w:id="200"/>
      </w:r>
      <w:r>
        <w:rPr>
          <w:rFonts w:ascii="Times New Roman" w:hAnsi="Times New Roman" w:cs="Times New Roman"/>
          <w:sz w:val="24"/>
          <w:szCs w:val="24"/>
        </w:rPr>
        <w:t>. В данном случае необходимо учесть, что правосубъектность определяется статьей 71 Конституции Российской Федерации. Тем не менее, поскольку в данном случае Российская Федерация выступает субъектом гражданских правоотношений, возникает необходимость соблюдения принципов гражданских правоотношений. Таких как, равенство, свобода договора, имущественная самостоятельность. Как было уже сказано, принцип равенства закрепляет, что Российская Федерация выступает в гражданском обороте наравне с остальными её участниками. Это означает, что попытка реализации публично – правовым образованием властных полномочий недопустима и будет рассматриваться как противоправное действие в гражданских правоотношениях. Принцип свободы договора, имеет характер свободы совершения сделок, как со стороны Российской Федерации с другими субъектами, так и в обратном порядке. Это означает, что круг правоотношений для публично – правового образования практически не ограничен. Так “Российская Федерация  наследует выморочное имущество”</w:t>
      </w:r>
      <w:r>
        <w:rPr>
          <w:rStyle w:val="a7"/>
          <w:rFonts w:ascii="Times New Roman" w:hAnsi="Times New Roman" w:cs="Times New Roman"/>
          <w:sz w:val="24"/>
          <w:szCs w:val="24"/>
        </w:rPr>
        <w:footnoteReference w:id="201"/>
      </w:r>
      <w:r>
        <w:rPr>
          <w:rFonts w:ascii="Times New Roman" w:hAnsi="Times New Roman" w:cs="Times New Roman"/>
          <w:sz w:val="24"/>
          <w:szCs w:val="24"/>
        </w:rPr>
        <w:t>, либо быть “учредителем юридического лица”</w:t>
      </w:r>
      <w:r>
        <w:rPr>
          <w:rStyle w:val="a7"/>
          <w:rFonts w:ascii="Times New Roman" w:hAnsi="Times New Roman" w:cs="Times New Roman"/>
          <w:sz w:val="24"/>
          <w:szCs w:val="24"/>
        </w:rPr>
        <w:footnoteReference w:id="202"/>
      </w:r>
      <w:r>
        <w:rPr>
          <w:rFonts w:ascii="Times New Roman" w:hAnsi="Times New Roman" w:cs="Times New Roman"/>
          <w:sz w:val="24"/>
          <w:szCs w:val="24"/>
        </w:rPr>
        <w:t xml:space="preserve">. При этом </w:t>
      </w:r>
      <w:r>
        <w:rPr>
          <w:rFonts w:ascii="Times New Roman" w:hAnsi="Times New Roman" w:cs="Times New Roman"/>
          <w:sz w:val="24"/>
          <w:szCs w:val="24"/>
        </w:rPr>
        <w:lastRenderedPageBreak/>
        <w:t>государство “считаются самостоятельными субъектами гражданско – правовых отношений”</w:t>
      </w:r>
      <w:r>
        <w:rPr>
          <w:rStyle w:val="a7"/>
          <w:rFonts w:ascii="Times New Roman" w:hAnsi="Times New Roman" w:cs="Times New Roman"/>
          <w:sz w:val="24"/>
          <w:szCs w:val="24"/>
        </w:rPr>
        <w:footnoteReference w:id="203"/>
      </w:r>
      <w:r>
        <w:rPr>
          <w:rFonts w:ascii="Times New Roman" w:hAnsi="Times New Roman" w:cs="Times New Roman"/>
          <w:sz w:val="24"/>
          <w:szCs w:val="24"/>
        </w:rPr>
        <w:t>. К нему применяются нормы, определяющие участие юридических лиц. Но при этом важно помнить, что “Российская федерация не является юридическим лицом в гражданско – правовом обороте”</w:t>
      </w:r>
      <w:r>
        <w:rPr>
          <w:rStyle w:val="a7"/>
          <w:rFonts w:ascii="Times New Roman" w:hAnsi="Times New Roman" w:cs="Times New Roman"/>
          <w:sz w:val="24"/>
          <w:szCs w:val="24"/>
        </w:rPr>
        <w:footnoteReference w:id="204"/>
      </w:r>
      <w:r>
        <w:rPr>
          <w:rFonts w:ascii="Times New Roman" w:hAnsi="Times New Roman" w:cs="Times New Roman"/>
          <w:sz w:val="24"/>
          <w:szCs w:val="24"/>
        </w:rPr>
        <w:t>. Что ставит её в категорию исключительных участников гражданских правоотношений. Так, например, как уже было сказано, Российская Федерация наследует выморочное имущество. Порядок перехода в собственность Российской Федерации такой категории имущества определяется “Федеральным законом”</w:t>
      </w:r>
      <w:r>
        <w:rPr>
          <w:rStyle w:val="a7"/>
          <w:rFonts w:ascii="Times New Roman" w:hAnsi="Times New Roman" w:cs="Times New Roman"/>
          <w:sz w:val="24"/>
          <w:szCs w:val="24"/>
        </w:rPr>
        <w:footnoteReference w:id="205"/>
      </w:r>
      <w:r>
        <w:rPr>
          <w:rFonts w:ascii="Times New Roman" w:hAnsi="Times New Roman" w:cs="Times New Roman"/>
          <w:sz w:val="24"/>
          <w:szCs w:val="24"/>
        </w:rPr>
        <w:t>. В настоящее время такого нормативно правового акта нет. Из этого следует, что Российская Федерация и её субъекты наследуют выморочное имущество по общим правилам, согласно которым данная категория имущества в порядке наследования “по закону переходит в собственность Российской Федерации”</w:t>
      </w:r>
      <w:r>
        <w:rPr>
          <w:rStyle w:val="a7"/>
          <w:rFonts w:ascii="Times New Roman" w:hAnsi="Times New Roman" w:cs="Times New Roman"/>
          <w:sz w:val="24"/>
          <w:szCs w:val="24"/>
        </w:rPr>
        <w:footnoteReference w:id="206"/>
      </w:r>
      <w:r>
        <w:rPr>
          <w:rFonts w:ascii="Times New Roman" w:hAnsi="Times New Roman" w:cs="Times New Roman"/>
          <w:sz w:val="24"/>
          <w:szCs w:val="24"/>
        </w:rPr>
        <w:t>. Но с определенными особенностями. Так, например, “не требуется выражения волеизъявления публичного наследника на принятие наследства”</w:t>
      </w:r>
      <w:r>
        <w:rPr>
          <w:rStyle w:val="a7"/>
          <w:rFonts w:ascii="Times New Roman" w:hAnsi="Times New Roman" w:cs="Times New Roman"/>
          <w:sz w:val="24"/>
          <w:szCs w:val="24"/>
        </w:rPr>
        <w:footnoteReference w:id="207"/>
      </w:r>
      <w:r>
        <w:rPr>
          <w:rFonts w:ascii="Times New Roman" w:hAnsi="Times New Roman" w:cs="Times New Roman"/>
          <w:sz w:val="24"/>
          <w:szCs w:val="24"/>
        </w:rPr>
        <w:t>. Кроме того, соответствующее муниципальное образование в отношении соответствующих объектов, представляющих собой выморочное имущество, является исключительным и необходимым правопреемником, а потому “отказ от такого наследства не допускается”</w:t>
      </w:r>
      <w:r>
        <w:rPr>
          <w:rStyle w:val="a7"/>
          <w:rFonts w:ascii="Times New Roman" w:hAnsi="Times New Roman" w:cs="Times New Roman"/>
          <w:sz w:val="24"/>
          <w:szCs w:val="24"/>
        </w:rPr>
        <w:footnoteReference w:id="208"/>
      </w:r>
      <w:r>
        <w:rPr>
          <w:rFonts w:ascii="Times New Roman" w:hAnsi="Times New Roman" w:cs="Times New Roman"/>
          <w:sz w:val="24"/>
          <w:szCs w:val="24"/>
        </w:rPr>
        <w:t>. Это означает, во – первых, что для получения наследства не требуется акт приятия наследства, во – вторых, вне зависимости от оформления наследственных прав и их государственной регистрации “Российская Федерация вступает в обязательственные отношения”</w:t>
      </w:r>
      <w:r>
        <w:rPr>
          <w:rStyle w:val="a7"/>
          <w:rFonts w:ascii="Times New Roman" w:hAnsi="Times New Roman" w:cs="Times New Roman"/>
          <w:sz w:val="24"/>
          <w:szCs w:val="24"/>
        </w:rPr>
        <w:footnoteReference w:id="209"/>
      </w:r>
      <w:r>
        <w:rPr>
          <w:rFonts w:ascii="Times New Roman" w:hAnsi="Times New Roman" w:cs="Times New Roman"/>
          <w:sz w:val="24"/>
          <w:szCs w:val="24"/>
        </w:rPr>
        <w:t>. Для того, чтобы получить свидетельство о праве на наследство на выморочное имущество, муниципальному образованию достаточно обратиться в общем порядке с заявлением о выдаче такого свидетельства к нотариусу или должностному лицу, уполномоченному в соответствии с законом “совершать такое нотариальное действие, по месту открытия наследства”</w:t>
      </w:r>
      <w:r>
        <w:rPr>
          <w:rStyle w:val="a7"/>
          <w:rFonts w:ascii="Times New Roman" w:hAnsi="Times New Roman" w:cs="Times New Roman"/>
          <w:sz w:val="24"/>
          <w:szCs w:val="24"/>
        </w:rPr>
        <w:footnoteReference w:id="210"/>
      </w:r>
      <w:r>
        <w:rPr>
          <w:rFonts w:ascii="Times New Roman" w:hAnsi="Times New Roman" w:cs="Times New Roman"/>
          <w:sz w:val="24"/>
          <w:szCs w:val="24"/>
        </w:rPr>
        <w:t>.  Принцип имущественной самостоятельности означает, что “Российская Федерация, субъект Российской Федерации, муниципальное образование отвечают по своим обязательствам…” независимо от основания возникновения. Так  Буденовский городской суд Ставропольского края рассмотрев жалобу гражданина Российской Федерации мирового судьи судебного участка города Будённовска по административному делу отменил решение суда первой инстанции в силу отсутствия в действиях подсудимого состава преступления. И обязал выплатить все понесенные расходы гражданином, затраченные на судопроизводство, а также “обязал компенсировать ему причиненный моральный вред из средств государственной казны”</w:t>
      </w:r>
      <w:r>
        <w:rPr>
          <w:rStyle w:val="a7"/>
          <w:rFonts w:ascii="Times New Roman" w:hAnsi="Times New Roman" w:cs="Times New Roman"/>
          <w:sz w:val="24"/>
          <w:szCs w:val="24"/>
        </w:rPr>
        <w:footnoteReference w:id="211"/>
      </w:r>
      <w:r>
        <w:rPr>
          <w:rFonts w:ascii="Times New Roman" w:hAnsi="Times New Roman" w:cs="Times New Roman"/>
          <w:sz w:val="24"/>
          <w:szCs w:val="24"/>
        </w:rPr>
        <w:t xml:space="preserve">. Основанием данного обязательства являются неправомерные действия со стороны исполнительных органов уполномоченных действовать от имени Российской Федерации. По сути, это означает противоправность в действиях Российской Федерации, что обязывает её как должника возместить ущерб кредитору – пострадавшему от её действий.  Из этого примера видно, что публично – правовые образования являются полноценными участниками гражданских правоотношений со своими правами и обязанностями. Тем не менее какой бы общей по своему содержание не была их правосубъектность, она всегда имеет специальный </w:t>
      </w:r>
      <w:r>
        <w:rPr>
          <w:rFonts w:ascii="Times New Roman" w:hAnsi="Times New Roman" w:cs="Times New Roman"/>
          <w:sz w:val="24"/>
          <w:szCs w:val="24"/>
        </w:rPr>
        <w:lastRenderedPageBreak/>
        <w:t xml:space="preserve">характер, поскольку она соответствует целям, с которыми они действуют и которые отвечают публичным интересам. Так закон прямо запрещает свободную реализацию собственности, изъятой, либо ограниченной в гражданском обороте. Исключением составляет, право Российская Федерация передать право собственности муниципальному образованию, для реализации целей, относящихся к личному ведению этого образования. В таком случае оно само вправе распоряжаться переданной ему собственностью. В качестве примера можно рассмотреть программу по выделению земельного участка многодетным семьям. Согласно </w:t>
      </w:r>
      <w:r>
        <w:rPr>
          <w:rFonts w:ascii="Times New Roman" w:hAnsi="Times New Roman" w:cs="Times New Roman"/>
          <w:bCs/>
          <w:sz w:val="24"/>
          <w:szCs w:val="24"/>
        </w:rPr>
        <w:t>Федеральному закону "О содействии развитию жилищного строительства" от 24.07.2008 N 161-ФЗ, статье 16 этого закона Субъекты Российской Федерации, далее муниципальные образования, принимают законодательные акты по реализации данной меры самостоятельно. В краснодарском крае это реализуется законом Красновского края от 26 декабря 2014 года № 3085 – КЗ “ О предоставлении гражданам, имеющим трёх и более детей, в собственность бесплатно земельных участков, находящихся в государственной или муниципальной собственности”.</w:t>
      </w:r>
      <w:r>
        <w:rPr>
          <w:rFonts w:ascii="Times New Roman" w:hAnsi="Times New Roman" w:cs="Times New Roman"/>
          <w:b/>
          <w:bCs/>
          <w:sz w:val="24"/>
          <w:szCs w:val="24"/>
        </w:rPr>
        <w:t xml:space="preserve"> </w:t>
      </w:r>
      <w:r>
        <w:rPr>
          <w:rFonts w:ascii="Times New Roman" w:hAnsi="Times New Roman" w:cs="Times New Roman"/>
          <w:sz w:val="24"/>
          <w:szCs w:val="24"/>
        </w:rPr>
        <w:t>Говоря об особенностях прав Российской Федерации и её субъектов в гражданском обороте необходимо добавить, что публично – правовые образования, в отличие от юридических лиц, “не вправе отказываться от права собственности”</w:t>
      </w:r>
      <w:r>
        <w:rPr>
          <w:rStyle w:val="a7"/>
          <w:rFonts w:ascii="Times New Roman" w:hAnsi="Times New Roman" w:cs="Times New Roman"/>
          <w:sz w:val="24"/>
          <w:szCs w:val="24"/>
        </w:rPr>
        <w:footnoteReference w:id="212"/>
      </w:r>
      <w:r>
        <w:rPr>
          <w:rFonts w:ascii="Times New Roman" w:hAnsi="Times New Roman" w:cs="Times New Roman"/>
          <w:sz w:val="24"/>
          <w:szCs w:val="24"/>
        </w:rPr>
        <w:t>. Так краснодарский край, не может выразить отказ от земель выделенных из федерального фонда. Это говорит о том, что исключительность прав в гражданском обороте Российской Федерации обусловлена направлением её деятельности и конституционных задач. Так другим примером можно считать “право Российской Федерации передать в собственность земельный участок, в качестве имущественного взноса госкорпорации”</w:t>
      </w:r>
      <w:r>
        <w:rPr>
          <w:rStyle w:val="a7"/>
          <w:rFonts w:ascii="Times New Roman" w:hAnsi="Times New Roman" w:cs="Times New Roman"/>
          <w:sz w:val="24"/>
          <w:szCs w:val="24"/>
        </w:rPr>
        <w:footnoteReference w:id="213"/>
      </w:r>
      <w:r>
        <w:rPr>
          <w:rFonts w:ascii="Times New Roman" w:hAnsi="Times New Roman" w:cs="Times New Roman"/>
          <w:sz w:val="24"/>
          <w:szCs w:val="24"/>
        </w:rPr>
        <w:t xml:space="preserve">. Принцип свободы договора. Российская Федерация, на равнее с другими участниками гражданского права может заключать обязательственные отношения. Так на сайте единой информационной системы в сфере закупок можно увидеть предложение заключения договора с государственными предприятиями, осуществляющими свою деятельность от имени Российской Федерации. Реализуя принцип свободы договора Российская Федерация может выступать как в роле закупщика, так и поставщика. Так, </w:t>
      </w:r>
      <w:r>
        <w:rPr>
          <w:rFonts w:ascii="Times New Roman" w:hAnsi="Times New Roman" w:cs="Times New Roman"/>
          <w:bCs/>
          <w:sz w:val="24"/>
          <w:szCs w:val="24"/>
        </w:rPr>
        <w:t>ФГУП «Московский эндокринный завод»</w:t>
      </w:r>
      <w:r>
        <w:rPr>
          <w:rFonts w:ascii="Times New Roman" w:hAnsi="Times New Roman" w:cs="Times New Roman"/>
          <w:b/>
          <w:bCs/>
          <w:sz w:val="24"/>
          <w:szCs w:val="24"/>
        </w:rPr>
        <w:t xml:space="preserve"> , </w:t>
      </w:r>
      <w:r>
        <w:rPr>
          <w:rFonts w:ascii="Times New Roman" w:hAnsi="Times New Roman" w:cs="Times New Roman"/>
          <w:bCs/>
          <w:sz w:val="24"/>
          <w:szCs w:val="24"/>
        </w:rPr>
        <w:t>реализует оборот лекарств, “содержащих наркотические вещества”</w:t>
      </w:r>
      <w:r>
        <w:rPr>
          <w:rStyle w:val="a7"/>
          <w:rFonts w:ascii="Times New Roman" w:hAnsi="Times New Roman" w:cs="Times New Roman"/>
          <w:bCs/>
          <w:sz w:val="24"/>
          <w:szCs w:val="24"/>
        </w:rPr>
        <w:footnoteReference w:id="214"/>
      </w:r>
      <w:r>
        <w:rPr>
          <w:rFonts w:ascii="Times New Roman" w:hAnsi="Times New Roman" w:cs="Times New Roman"/>
          <w:bCs/>
          <w:sz w:val="24"/>
          <w:szCs w:val="24"/>
        </w:rPr>
        <w:t>. Важно учесть, что публично-правовые образования свободны в выборе стороны заключения договора. Так Московский эндокринный завод вправе заключать договор поставки ограниченных в обороте лекарственных средств, как с государственными медицинскими учреждениями, так и с физическими лицами, обладающими специальными условиями для заключения таких договоров.</w:t>
      </w:r>
      <w:r>
        <w:rPr>
          <w:rFonts w:ascii="Times New Roman" w:hAnsi="Times New Roman" w:cs="Times New Roman"/>
          <w:sz w:val="24"/>
          <w:szCs w:val="24"/>
        </w:rPr>
        <w:t xml:space="preserve"> Из выше сказанного мы можем прийти к выводу, что вступая в гражданские правоотношения, государство добровольно ограничивает свой иммунитет. “Поэтому для существования так называемой властной гражданской правоспособности нет никаких оснований”</w:t>
      </w:r>
      <w:r>
        <w:rPr>
          <w:rStyle w:val="a7"/>
          <w:rFonts w:ascii="Times New Roman" w:hAnsi="Times New Roman" w:cs="Times New Roman"/>
          <w:sz w:val="24"/>
          <w:szCs w:val="24"/>
        </w:rPr>
        <w:footnoteReference w:id="215"/>
      </w:r>
      <w:r>
        <w:rPr>
          <w:rFonts w:ascii="Times New Roman" w:hAnsi="Times New Roman" w:cs="Times New Roman"/>
          <w:sz w:val="24"/>
          <w:szCs w:val="24"/>
        </w:rPr>
        <w:t xml:space="preserve">. Мы можем говорить о специальной правосубъектности публично – правовых образований, обусловленных специальными целями и их компетенцией. </w:t>
      </w:r>
    </w:p>
    <w:p w14:paraId="21A252D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sz w:val="24"/>
          <w:szCs w:val="24"/>
        </w:rPr>
      </w:pPr>
      <w:r>
        <w:rPr>
          <w:rFonts w:ascii="Times New Roman" w:hAnsi="Times New Roman" w:cs="Times New Roman"/>
          <w:b/>
          <w:sz w:val="24"/>
          <w:szCs w:val="24"/>
        </w:rPr>
        <w:t>Список литературы</w:t>
      </w:r>
    </w:p>
    <w:p w14:paraId="6B4FE8B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1. Гражданское право: учебник для вузов в трёх частях. Часть первая. Под ред. В. П. Камышанского – М.: Эксмо, 2009. – 704 с.</w:t>
      </w:r>
    </w:p>
    <w:p w14:paraId="73A0086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 Гражданский кодекс Российской Федерации (часть первая) от 30.11.1994 N 51-ФЗ (ред. от 16.12.2019).</w:t>
      </w:r>
    </w:p>
    <w:p w14:paraId="5D6E3EC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3.Гражданское право/ под общ. ред. Т. И. Илларионовой. М., 1998. – 773 с.</w:t>
      </w:r>
    </w:p>
    <w:p w14:paraId="696BA53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4. Гражданское право России/ под ред. О. Н. Садикова. М., 1996. – 362 с.</w:t>
      </w:r>
    </w:p>
    <w:p w14:paraId="61AE4D6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5. Конституция Российской Федерации. (Герб, гимн, флаг) СПб, ООО “Виктория плюс”. 2020.</w:t>
      </w:r>
    </w:p>
    <w:p w14:paraId="76DB5BA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6. Усков О. Самостоятельная правосубъектность государственных органов и ответственность государства по обязательствам из договора. Хозяйство и право. 2003 № 9, 105  – 112 с.</w:t>
      </w:r>
    </w:p>
    <w:p w14:paraId="5856FDB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7. Толстой Ю. К. Гражданское право и гражданское законодательство. Правоведение. 1998. № 2. – 112 – 149 с. </w:t>
      </w:r>
    </w:p>
    <w:p w14:paraId="1C50213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8. Советское гражданское право М. 1984. – 98 с.</w:t>
      </w:r>
    </w:p>
    <w:p w14:paraId="4917C6C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sz w:val="24"/>
          <w:szCs w:val="24"/>
        </w:rPr>
      </w:pPr>
      <w:r>
        <w:rPr>
          <w:rFonts w:ascii="Times New Roman" w:hAnsi="Times New Roman" w:cs="Times New Roman"/>
          <w:b/>
          <w:sz w:val="24"/>
          <w:szCs w:val="24"/>
        </w:rPr>
        <w:t>Интернет ресурсы</w:t>
      </w:r>
    </w:p>
    <w:p w14:paraId="30317AD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1. Гражданский кодекс Р. С. Ф. С. Р. 1922 года// СУ Р. С. Ф. С. Р. 1922, № 71, Ст. 904.  </w:t>
      </w:r>
      <w:r>
        <w:rPr>
          <w:rFonts w:ascii="Times New Roman" w:hAnsi="Times New Roman" w:cs="Times New Roman"/>
          <w:sz w:val="24"/>
          <w:szCs w:val="24"/>
          <w:lang w:val="en-US"/>
        </w:rPr>
        <w:t>https</w:t>
      </w:r>
      <w:r>
        <w:rPr>
          <w:rFonts w:ascii="Times New Roman" w:hAnsi="Times New Roman" w:cs="Times New Roman"/>
          <w:sz w:val="24"/>
          <w:szCs w:val="24"/>
        </w:rPr>
        <w:t>: //</w:t>
      </w:r>
      <w:r>
        <w:rPr>
          <w:rFonts w:ascii="Times New Roman" w:hAnsi="Times New Roman" w:cs="Times New Roman"/>
          <w:sz w:val="24"/>
          <w:szCs w:val="24"/>
          <w:lang w:val="en-US"/>
        </w:rPr>
        <w:t>ru</w:t>
      </w:r>
      <w:r>
        <w:rPr>
          <w:rFonts w:ascii="Times New Roman" w:hAnsi="Times New Roman" w:cs="Times New Roman"/>
          <w:sz w:val="24"/>
          <w:szCs w:val="24"/>
        </w:rPr>
        <w:t>.</w:t>
      </w:r>
      <w:r>
        <w:rPr>
          <w:rFonts w:ascii="Times New Roman" w:hAnsi="Times New Roman" w:cs="Times New Roman"/>
          <w:sz w:val="24"/>
          <w:szCs w:val="24"/>
          <w:lang w:val="en-US"/>
        </w:rPr>
        <w:t>wikisource</w:t>
      </w:r>
      <w:r>
        <w:rPr>
          <w:rFonts w:ascii="Times New Roman" w:hAnsi="Times New Roman" w:cs="Times New Roman"/>
          <w:sz w:val="24"/>
          <w:szCs w:val="24"/>
        </w:rPr>
        <w:t>.</w:t>
      </w:r>
      <w:r>
        <w:rPr>
          <w:rFonts w:ascii="Times New Roman" w:hAnsi="Times New Roman" w:cs="Times New Roman"/>
          <w:sz w:val="24"/>
          <w:szCs w:val="24"/>
          <w:lang w:val="en-US"/>
        </w:rPr>
        <w:t>org</w:t>
      </w:r>
      <w:r>
        <w:rPr>
          <w:rFonts w:ascii="Times New Roman" w:hAnsi="Times New Roman" w:cs="Times New Roman"/>
          <w:sz w:val="24"/>
          <w:szCs w:val="24"/>
        </w:rPr>
        <w:t>/</w:t>
      </w:r>
      <w:r>
        <w:rPr>
          <w:rFonts w:ascii="Times New Roman" w:hAnsi="Times New Roman" w:cs="Times New Roman"/>
          <w:sz w:val="24"/>
          <w:szCs w:val="24"/>
          <w:lang w:val="en-US"/>
        </w:rPr>
        <w:t>wiki</w:t>
      </w:r>
      <w:r>
        <w:rPr>
          <w:rFonts w:ascii="Times New Roman" w:hAnsi="Times New Roman" w:cs="Times New Roman"/>
          <w:sz w:val="24"/>
          <w:szCs w:val="24"/>
        </w:rPr>
        <w:t>/Гражданский_кодексРСФСР_(1922).</w:t>
      </w:r>
    </w:p>
    <w:p w14:paraId="7541521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 Информационное письмо Высшего Арбитражного Суда Российской Федерации от 30 июня 1993 г. № С – 13/ ОП – 210. https://www.garant.ru/products/ipo/prime/doc/10007054/.</w:t>
      </w:r>
    </w:p>
    <w:p w14:paraId="65F6C54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3. Конституция Республики Саха https://www.sakha.gov.ru/konstitutsiya.</w:t>
      </w:r>
    </w:p>
    <w:p w14:paraId="46FAD99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bCs/>
          <w:sz w:val="24"/>
          <w:szCs w:val="24"/>
        </w:rPr>
        <w:t>4. Постановление главы администрации (губернатора) Краснодарского края от 31 марта 2020 года № 185 "О введении ограничительных мероприятий (карантина) на территории Краснодарского края" https://rg.ru/2020/03/31/krasnodar-post185-reg-dok.html</w:t>
      </w:r>
      <w:r>
        <w:rPr>
          <w:rFonts w:ascii="Times New Roman" w:hAnsi="Times New Roman" w:cs="Times New Roman"/>
          <w:sz w:val="24"/>
          <w:szCs w:val="24"/>
        </w:rPr>
        <w:t>.</w:t>
      </w:r>
    </w:p>
    <w:p w14:paraId="207A0A1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5. Решение № 12-101/2016 от 7 июня 2016 г. по делу № 12-101/2016.</w:t>
      </w:r>
    </w:p>
    <w:p w14:paraId="04E1C97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6. Федеральный закон от 15. 11. 1997 № 143 – ФЗ (ред. от 01. 10. 2019) “ Об актах гражданского состояния”. http://www.consultant.ru/document/cons_doc_LAW_16758/da6b7ade736a6dad0d3ffdedce01273bad435a86/.</w:t>
      </w:r>
    </w:p>
    <w:p w14:paraId="64FB453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sectPr w:rsidR="001B6C3B">
          <w:footnotePr>
            <w:numRestart w:val="eachPage"/>
          </w:footnotePr>
          <w:pgSz w:w="11906" w:h="16838"/>
          <w:pgMar w:top="1134" w:right="1134" w:bottom="1134" w:left="1134" w:header="709" w:footer="709" w:gutter="0"/>
          <w:cols w:space="720"/>
        </w:sectPr>
      </w:pPr>
    </w:p>
    <w:p w14:paraId="169ACDB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678"/>
        <w:jc w:val="both"/>
        <w:rPr>
          <w:rFonts w:ascii="Times New Roman" w:hAnsi="Times New Roman" w:cs="Times New Roman"/>
          <w:b/>
          <w:bCs/>
          <w:sz w:val="24"/>
          <w:szCs w:val="24"/>
        </w:rPr>
      </w:pPr>
      <w:r>
        <w:rPr>
          <w:rFonts w:ascii="Times New Roman" w:hAnsi="Times New Roman" w:cs="Times New Roman"/>
          <w:b/>
          <w:bCs/>
          <w:sz w:val="24"/>
          <w:szCs w:val="24"/>
        </w:rPr>
        <w:lastRenderedPageBreak/>
        <w:t>УДК 347.121.2</w:t>
      </w:r>
    </w:p>
    <w:p w14:paraId="4BD26F3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678"/>
        <w:jc w:val="both"/>
        <w:rPr>
          <w:rFonts w:ascii="Times New Roman" w:hAnsi="Times New Roman" w:cs="Times New Roman"/>
          <w:sz w:val="24"/>
          <w:szCs w:val="24"/>
        </w:rPr>
      </w:pPr>
    </w:p>
    <w:p w14:paraId="6301A8B5" w14:textId="77777777" w:rsidR="001B6C3B" w:rsidRDefault="001B6C3B" w:rsidP="001B6C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678"/>
        <w:jc w:val="both"/>
        <w:rPr>
          <w:rFonts w:ascii="Times New Roman" w:hAnsi="Times New Roman" w:cs="Times New Roman"/>
          <w:b/>
          <w:bCs/>
          <w:sz w:val="24"/>
          <w:szCs w:val="24"/>
        </w:rPr>
      </w:pPr>
      <w:r>
        <w:rPr>
          <w:rFonts w:ascii="Times New Roman" w:hAnsi="Times New Roman" w:cs="Times New Roman"/>
          <w:b/>
          <w:bCs/>
          <w:sz w:val="24"/>
          <w:szCs w:val="24"/>
        </w:rPr>
        <w:t>Лисица Анастасия Алексеевна</w:t>
      </w:r>
    </w:p>
    <w:p w14:paraId="51B2212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678"/>
        <w:jc w:val="both"/>
        <w:rPr>
          <w:rFonts w:ascii="Times New Roman" w:hAnsi="Times New Roman" w:cs="Times New Roman"/>
          <w:b/>
          <w:bCs/>
          <w:sz w:val="24"/>
          <w:szCs w:val="24"/>
        </w:rPr>
      </w:pPr>
      <w:r>
        <w:rPr>
          <w:rFonts w:ascii="Times New Roman" w:hAnsi="Times New Roman" w:cs="Times New Roman"/>
          <w:b/>
          <w:bCs/>
          <w:sz w:val="24"/>
          <w:szCs w:val="24"/>
        </w:rPr>
        <w:t xml:space="preserve">Lisitsa Anastasia Alekseevna </w:t>
      </w:r>
    </w:p>
    <w:p w14:paraId="39AE1F7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678"/>
        <w:jc w:val="both"/>
        <w:rPr>
          <w:rFonts w:ascii="Times New Roman" w:hAnsi="Times New Roman" w:cs="Times New Roman"/>
          <w:sz w:val="24"/>
          <w:szCs w:val="24"/>
        </w:rPr>
      </w:pPr>
      <w:r>
        <w:rPr>
          <w:rFonts w:ascii="Times New Roman" w:hAnsi="Times New Roman" w:cs="Times New Roman"/>
          <w:sz w:val="24"/>
          <w:szCs w:val="24"/>
        </w:rPr>
        <w:t>Магистрант Федеральное государственное бюджетное образовательное учреждение высшего образования «Кубанский государственный аграрный университет имени И.Т. Трубилина»</w:t>
      </w:r>
    </w:p>
    <w:p w14:paraId="67F9292F" w14:textId="77777777" w:rsidR="001B6C3B" w:rsidRPr="007D574D"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678"/>
        <w:jc w:val="both"/>
        <w:rPr>
          <w:rStyle w:val="ab"/>
          <w:rFonts w:ascii="Times New Roman" w:hAnsi="Times New Roman" w:cs="Times New Roman"/>
          <w:i w:val="0"/>
          <w:iCs w:val="0"/>
          <w:lang w:val="en-US"/>
        </w:rPr>
      </w:pPr>
      <w:r w:rsidRPr="007D574D">
        <w:rPr>
          <w:rStyle w:val="ab"/>
          <w:rFonts w:ascii="Times New Roman" w:hAnsi="Times New Roman" w:cs="Times New Roman"/>
          <w:i w:val="0"/>
          <w:sz w:val="24"/>
          <w:szCs w:val="24"/>
          <w:lang w:val="en-US"/>
        </w:rPr>
        <w:t xml:space="preserve">Federal State Budgetary Educational Institution of Higher Education </w:t>
      </w:r>
      <w:r w:rsidRPr="007D574D">
        <w:rPr>
          <w:rFonts w:ascii="Times New Roman" w:hAnsi="Times New Roman" w:cs="Times New Roman"/>
          <w:i/>
          <w:iCs/>
          <w:sz w:val="24"/>
          <w:szCs w:val="24"/>
          <w:lang w:val="en-US"/>
        </w:rPr>
        <w:br/>
      </w:r>
      <w:r w:rsidRPr="007D574D">
        <w:rPr>
          <w:rStyle w:val="ab"/>
          <w:rFonts w:ascii="Times New Roman" w:hAnsi="Times New Roman" w:cs="Times New Roman"/>
          <w:i w:val="0"/>
          <w:sz w:val="24"/>
          <w:szCs w:val="24"/>
          <w:lang w:val="en-US"/>
        </w:rPr>
        <w:t>«Kuban State Agrarian University named after I.T. Trubilin»</w:t>
      </w:r>
    </w:p>
    <w:p w14:paraId="5CADE8E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678"/>
        <w:jc w:val="both"/>
        <w:rPr>
          <w:rFonts w:ascii="Times New Roman" w:hAnsi="Times New Roman" w:cs="Times New Roman"/>
        </w:rPr>
      </w:pPr>
      <w:r>
        <w:rPr>
          <w:rFonts w:ascii="Times New Roman" w:hAnsi="Times New Roman" w:cs="Times New Roman"/>
          <w:sz w:val="24"/>
          <w:szCs w:val="24"/>
        </w:rPr>
        <w:t>Российская Федерация, г. Краснодар</w:t>
      </w:r>
    </w:p>
    <w:p w14:paraId="16CDF22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678"/>
        <w:jc w:val="both"/>
        <w:rPr>
          <w:rStyle w:val="ab"/>
          <w:i w:val="0"/>
          <w:iCs w:val="0"/>
        </w:rPr>
      </w:pPr>
      <w:r>
        <w:rPr>
          <w:rStyle w:val="ab"/>
          <w:sz w:val="24"/>
          <w:szCs w:val="24"/>
          <w:lang w:val="en-US"/>
        </w:rPr>
        <w:t>Russian</w:t>
      </w:r>
      <w:r w:rsidRPr="00430C1C">
        <w:rPr>
          <w:rStyle w:val="ab"/>
          <w:sz w:val="24"/>
          <w:szCs w:val="24"/>
        </w:rPr>
        <w:t xml:space="preserve"> </w:t>
      </w:r>
      <w:r>
        <w:rPr>
          <w:rStyle w:val="ab"/>
          <w:sz w:val="24"/>
          <w:szCs w:val="24"/>
          <w:lang w:val="en-US"/>
        </w:rPr>
        <w:t>Federation</w:t>
      </w:r>
      <w:r>
        <w:rPr>
          <w:rStyle w:val="ab"/>
          <w:sz w:val="24"/>
          <w:szCs w:val="24"/>
        </w:rPr>
        <w:t xml:space="preserve">, </w:t>
      </w:r>
      <w:r>
        <w:rPr>
          <w:rStyle w:val="ab"/>
          <w:sz w:val="24"/>
          <w:szCs w:val="24"/>
          <w:lang w:val="en-US"/>
        </w:rPr>
        <w:t>Krasnodar</w:t>
      </w:r>
    </w:p>
    <w:p w14:paraId="75CF1655" w14:textId="77777777" w:rsidR="001B6C3B" w:rsidRDefault="001B6C3B" w:rsidP="001B6C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678"/>
        <w:jc w:val="both"/>
        <w:rPr>
          <w:rFonts w:ascii="Times New Roman" w:hAnsi="Times New Roman" w:cs="Times New Roman"/>
          <w:b/>
          <w:bCs/>
        </w:rPr>
      </w:pPr>
      <w:r>
        <w:rPr>
          <w:rFonts w:ascii="Times New Roman" w:hAnsi="Times New Roman" w:cs="Times New Roman"/>
          <w:sz w:val="24"/>
          <w:szCs w:val="24"/>
          <w:shd w:val="clear" w:color="auto" w:fill="FFFFFF"/>
        </w:rPr>
        <w:t>anastasyaalexs@yandex.ru</w:t>
      </w:r>
    </w:p>
    <w:p w14:paraId="2498B11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678"/>
        <w:jc w:val="both"/>
        <w:rPr>
          <w:rFonts w:ascii="Times New Roman" w:hAnsi="Times New Roman" w:cs="Times New Roman"/>
          <w:b/>
          <w:bCs/>
          <w:sz w:val="24"/>
          <w:szCs w:val="24"/>
        </w:rPr>
      </w:pPr>
      <w:r>
        <w:rPr>
          <w:rFonts w:ascii="Times New Roman" w:hAnsi="Times New Roman" w:cs="Times New Roman"/>
          <w:b/>
          <w:bCs/>
          <w:sz w:val="24"/>
          <w:szCs w:val="24"/>
        </w:rPr>
        <w:t xml:space="preserve">Гряда Элеонора Александровна, к.ю.н., доцент </w:t>
      </w:r>
    </w:p>
    <w:p w14:paraId="10CF97A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bCs/>
          <w:sz w:val="24"/>
          <w:szCs w:val="24"/>
        </w:rPr>
      </w:pPr>
    </w:p>
    <w:p w14:paraId="06F9ADA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bCs/>
          <w:sz w:val="24"/>
          <w:szCs w:val="24"/>
        </w:rPr>
      </w:pPr>
    </w:p>
    <w:p w14:paraId="338773D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hAnsi="Times New Roman" w:cs="Times New Roman"/>
          <w:b/>
          <w:bCs/>
          <w:sz w:val="24"/>
          <w:szCs w:val="24"/>
        </w:rPr>
      </w:pPr>
      <w:r>
        <w:rPr>
          <w:rFonts w:ascii="Times New Roman" w:hAnsi="Times New Roman" w:cs="Times New Roman"/>
          <w:b/>
          <w:bCs/>
          <w:sz w:val="24"/>
          <w:szCs w:val="24"/>
        </w:rPr>
        <w:t>РЕКВИЗИЦИЯ КАК ОСНОВАНИЕ ПРИНУДИТЕЛЬНОГО ПРЕКРАЩЕНИЯ ПРАВ НА ЗЕМЕЛЬНЫЕ УЧАСТКИ</w:t>
      </w:r>
      <w:r>
        <w:rPr>
          <w:rFonts w:ascii="Times New Roman" w:hAnsi="Times New Roman" w:cs="Times New Roman"/>
          <w:b/>
          <w:bCs/>
          <w:sz w:val="24"/>
          <w:szCs w:val="24"/>
        </w:rPr>
        <w:br/>
      </w:r>
    </w:p>
    <w:p w14:paraId="6E733A2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hAnsi="Times New Roman" w:cs="Times New Roman"/>
          <w:b/>
          <w:bCs/>
          <w:sz w:val="24"/>
          <w:szCs w:val="24"/>
        </w:rPr>
      </w:pPr>
    </w:p>
    <w:p w14:paraId="558B7FA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hAnsi="Times New Roman" w:cs="Times New Roman"/>
          <w:b/>
          <w:bCs/>
          <w:sz w:val="24"/>
          <w:szCs w:val="24"/>
          <w:shd w:val="clear" w:color="auto" w:fill="FFFFFF"/>
          <w:lang w:val="en-US"/>
        </w:rPr>
      </w:pPr>
      <w:r>
        <w:rPr>
          <w:rFonts w:ascii="Times New Roman" w:hAnsi="Times New Roman" w:cs="Times New Roman"/>
          <w:b/>
          <w:bCs/>
          <w:sz w:val="24"/>
          <w:szCs w:val="24"/>
          <w:shd w:val="clear" w:color="auto" w:fill="FFFFFF"/>
          <w:lang w:val="en-US"/>
        </w:rPr>
        <w:t>REQUISITION AS THE BASIS OF FORCED TERMINATION OF RIGHTS TO LAND PLOTS</w:t>
      </w:r>
    </w:p>
    <w:p w14:paraId="63AC0EA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bCs/>
          <w:sz w:val="24"/>
          <w:szCs w:val="24"/>
          <w:lang w:val="en-US"/>
        </w:rPr>
      </w:pPr>
    </w:p>
    <w:p w14:paraId="5ABA8A8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bCs/>
          <w:sz w:val="24"/>
          <w:szCs w:val="24"/>
          <w:lang w:val="en-US"/>
        </w:rPr>
      </w:pPr>
    </w:p>
    <w:p w14:paraId="41618542" w14:textId="77777777" w:rsidR="001B6C3B" w:rsidRPr="007D574D"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Cs/>
          <w:sz w:val="24"/>
          <w:szCs w:val="24"/>
        </w:rPr>
      </w:pPr>
      <w:r w:rsidRPr="007D574D">
        <w:rPr>
          <w:rFonts w:ascii="Times New Roman" w:hAnsi="Times New Roman" w:cs="Times New Roman"/>
          <w:iCs/>
          <w:sz w:val="24"/>
          <w:szCs w:val="24"/>
        </w:rPr>
        <w:t>Аннотация. В статье рассматривается принудительное прекращение прав на земельные участки в результате проведения такой процедуры как реквизиция. Проводится анализ и сравнение правовых норм Гражданского кодекса РФ и Земельного кодекса РФ, регулирующих реквизицию, указываются проблемные моменты. А также подробно рассматриваются отличия процедуры реквизиции от иных оснований принудительного прекращения прав на земельные участки, в частности от временного занятия земельного участка и изъятия земель для государственных и муниципальных нужд.</w:t>
      </w:r>
    </w:p>
    <w:p w14:paraId="5542067F" w14:textId="77777777" w:rsidR="001B6C3B" w:rsidRPr="007D574D"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sidRPr="007D574D">
        <w:rPr>
          <w:rFonts w:ascii="Times New Roman" w:hAnsi="Times New Roman" w:cs="Times New Roman"/>
          <w:iCs/>
          <w:sz w:val="24"/>
          <w:szCs w:val="24"/>
        </w:rPr>
        <w:t>Ключевые слова</w:t>
      </w:r>
      <w:r w:rsidRPr="007D574D">
        <w:rPr>
          <w:rFonts w:ascii="Times New Roman" w:hAnsi="Times New Roman" w:cs="Times New Roman"/>
          <w:sz w:val="24"/>
          <w:szCs w:val="24"/>
        </w:rPr>
        <w:t>:</w:t>
      </w:r>
      <w:r w:rsidRPr="007D574D">
        <w:rPr>
          <w:rFonts w:ascii="Times New Roman" w:hAnsi="Times New Roman" w:cs="Times New Roman"/>
          <w:b/>
          <w:bCs/>
          <w:sz w:val="24"/>
          <w:szCs w:val="24"/>
        </w:rPr>
        <w:t xml:space="preserve"> </w:t>
      </w:r>
      <w:r w:rsidRPr="007D574D">
        <w:rPr>
          <w:rFonts w:ascii="Times New Roman" w:hAnsi="Times New Roman" w:cs="Times New Roman"/>
          <w:iCs/>
          <w:sz w:val="24"/>
          <w:szCs w:val="24"/>
        </w:rPr>
        <w:t>реквизиция; принудительное прекращение прав; земельное право; изъятие земель; возмездное прекращение прав на земельный участок</w:t>
      </w:r>
      <w:r w:rsidRPr="007D574D">
        <w:rPr>
          <w:rFonts w:ascii="Times New Roman" w:hAnsi="Times New Roman" w:cs="Times New Roman"/>
          <w:sz w:val="24"/>
          <w:szCs w:val="24"/>
        </w:rPr>
        <w:t>.</w:t>
      </w:r>
    </w:p>
    <w:p w14:paraId="610027F3" w14:textId="77777777" w:rsidR="001B6C3B" w:rsidRPr="007D574D"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p>
    <w:p w14:paraId="5E09921B" w14:textId="77777777" w:rsidR="001B6C3B" w:rsidRPr="007D574D"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Cs/>
          <w:sz w:val="24"/>
          <w:szCs w:val="24"/>
          <w:shd w:val="clear" w:color="auto" w:fill="FFFFFF"/>
          <w:lang w:val="en-US"/>
        </w:rPr>
      </w:pPr>
      <w:r w:rsidRPr="007D574D">
        <w:rPr>
          <w:rFonts w:ascii="Times New Roman" w:hAnsi="Times New Roman" w:cs="Times New Roman"/>
          <w:iCs/>
          <w:sz w:val="24"/>
          <w:szCs w:val="24"/>
          <w:shd w:val="clear" w:color="auto" w:fill="FFFFFF"/>
          <w:lang w:val="en-US"/>
        </w:rPr>
        <w:t xml:space="preserve">Annotation. The article considers the forced termination of rights to land as a result of such a procedure as requisition.  The analysis and comparison of legal norms of the Civil Code of the Russian Federation and the Land Code of the Russian Federation governing the requisition, the problem points are indicated.  It also examines in detail the differences in the requisition procedure from other grounds for the forced termination of rights to land plots, in particular from temporary occupation of a land plot and land acquisition for state and municipal needs. </w:t>
      </w:r>
    </w:p>
    <w:p w14:paraId="3037072D" w14:textId="77777777" w:rsidR="001B6C3B" w:rsidRPr="007D574D"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Cs/>
          <w:sz w:val="24"/>
          <w:szCs w:val="24"/>
          <w:shd w:val="clear" w:color="auto" w:fill="FFFFFF"/>
          <w:lang w:val="en-US"/>
        </w:rPr>
      </w:pPr>
      <w:r w:rsidRPr="007D574D">
        <w:rPr>
          <w:rFonts w:ascii="Times New Roman" w:hAnsi="Times New Roman" w:cs="Times New Roman"/>
          <w:iCs/>
          <w:sz w:val="24"/>
          <w:szCs w:val="24"/>
          <w:shd w:val="clear" w:color="auto" w:fill="FFFFFF"/>
          <w:lang w:val="en-US"/>
        </w:rPr>
        <w:t xml:space="preserve"> Key words: requisition; forced termination of rights; land law; land acquisition; compensatory termination of rights to the land plot.</w:t>
      </w:r>
    </w:p>
    <w:p w14:paraId="4A1B1C5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lang w:val="en-US"/>
        </w:rPr>
      </w:pPr>
    </w:p>
    <w:p w14:paraId="0D1C25E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Основным нормативным правовым актом, регулирующим отношения в сфере землепользования, является Земельный кодекс Российской Федерации</w:t>
      </w:r>
      <w:r>
        <w:rPr>
          <w:rStyle w:val="a7"/>
          <w:rFonts w:ascii="Times New Roman" w:hAnsi="Times New Roman" w:cs="Times New Roman"/>
          <w:sz w:val="24"/>
          <w:szCs w:val="24"/>
        </w:rPr>
        <w:footnoteReference w:id="216"/>
      </w:r>
      <w:r>
        <w:rPr>
          <w:rFonts w:ascii="Times New Roman" w:hAnsi="Times New Roman" w:cs="Times New Roman"/>
          <w:sz w:val="24"/>
          <w:szCs w:val="24"/>
        </w:rPr>
        <w:t xml:space="preserve">, в соответствии с </w:t>
      </w:r>
      <w:r>
        <w:rPr>
          <w:rFonts w:ascii="Times New Roman" w:hAnsi="Times New Roman" w:cs="Times New Roman"/>
          <w:sz w:val="24"/>
          <w:szCs w:val="24"/>
        </w:rPr>
        <w:lastRenderedPageBreak/>
        <w:t xml:space="preserve">которым земельные участки могут быть изъяты у собственника по причинам, установленным не только земельным, но и гражданским законодательством. </w:t>
      </w:r>
    </w:p>
    <w:p w14:paraId="0BE5F98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Изъятие земельных участков является видом принудительного прекращения прав собственности и может носить не только безвозмездный (например, в результате правонарушения или для государственных и муниципальных нужд), но и возмездный характер. </w:t>
      </w:r>
    </w:p>
    <w:p w14:paraId="10A1E91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гражданском законодательстве</w:t>
      </w:r>
      <w:r>
        <w:rPr>
          <w:rStyle w:val="a7"/>
          <w:rFonts w:ascii="Times New Roman" w:hAnsi="Times New Roman" w:cs="Times New Roman"/>
          <w:sz w:val="24"/>
          <w:szCs w:val="24"/>
        </w:rPr>
        <w:footnoteReference w:id="217"/>
      </w:r>
      <w:r>
        <w:rPr>
          <w:rFonts w:ascii="Times New Roman" w:hAnsi="Times New Roman" w:cs="Times New Roman"/>
          <w:sz w:val="24"/>
          <w:szCs w:val="24"/>
        </w:rPr>
        <w:t xml:space="preserve"> приводится исчерпывающий перечень оснований, по которым возможно принудительное изъятие земельных участков в Российской Федерации</w:t>
      </w:r>
      <w:r>
        <w:rPr>
          <w:rStyle w:val="a7"/>
          <w:rFonts w:ascii="Times New Roman" w:hAnsi="Times New Roman" w:cs="Times New Roman"/>
          <w:sz w:val="24"/>
          <w:szCs w:val="24"/>
        </w:rPr>
        <w:footnoteReference w:id="218"/>
      </w:r>
      <w:r>
        <w:rPr>
          <w:rFonts w:ascii="Times New Roman" w:hAnsi="Times New Roman" w:cs="Times New Roman"/>
          <w:sz w:val="24"/>
          <w:szCs w:val="24"/>
        </w:rPr>
        <w:t xml:space="preserve">. Данный перечень не подлежит расширению даже в результате принятия новых законов. </w:t>
      </w:r>
    </w:p>
    <w:p w14:paraId="2E77CA4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Одним из таких оснований (пункт 5 часть 2 статьи 235 ГК РФ) является реквизиция земельного участка, которая регулируется отдельной статьей ГК РФ, которая устанавливает основные положения по указанной процедуре изъятия имущества,  и ЗК РФ (статья 51 ЗК РФ), которая регулирует особенности реквизиции непосредственно земельных участков. Рассмотрим указанные правовые нормы более подробно и сравним их.</w:t>
      </w:r>
    </w:p>
    <w:p w14:paraId="4498FFF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Итак, понятие реквизиции устанавливается частью 1 статьи 242 ГК РФ, и подразумевает под собой изъятие имущества у собственника в интересах общества по решению государственных органов в случаях стихийных бедствий, аварий, эпидемий, эпизоотий и иных обстоятельствах, носящих чрезвычайный характер с выплатой собственнику стоимости изымаемого имущества. </w:t>
      </w:r>
    </w:p>
    <w:p w14:paraId="3CA029E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Оценка стоимости реквизируемого участка проводится тем же органом, который непосредственно осуществляет процедуру реквизиции в отношении земельного участка. А в случае, если собственник не согласен со стоимостной оценкой своего участка, закон наделяет его правом оспорить установленную цену в судебном порядке</w:t>
      </w:r>
      <w:r>
        <w:rPr>
          <w:rStyle w:val="a7"/>
          <w:rFonts w:ascii="Times New Roman" w:hAnsi="Times New Roman" w:cs="Times New Roman"/>
          <w:sz w:val="24"/>
          <w:szCs w:val="24"/>
        </w:rPr>
        <w:footnoteReference w:id="219"/>
      </w:r>
      <w:r>
        <w:rPr>
          <w:rFonts w:ascii="Times New Roman" w:hAnsi="Times New Roman" w:cs="Times New Roman"/>
          <w:sz w:val="24"/>
          <w:szCs w:val="24"/>
        </w:rPr>
        <w:t>.</w:t>
      </w:r>
    </w:p>
    <w:p w14:paraId="6773685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К тому же законодатель предоставляет собственнику, при прекращении обстоятельств, носящих чрезвычайный характер, которые повлекли за собой реквизицию участка, право на возврат сохранившегося земельного участка в судебном порядке. Это основная особенность реквизиции в отношении земельных участков, установленная земельным законодательством, так как возврат реквизируемого имущества, регулируемого ГК РФ, не всегда возможен (например, в результате уничтожения). </w:t>
      </w:r>
    </w:p>
    <w:p w14:paraId="5176B60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Именно поэтому ГК РФ устанавливает возмездный характер такой процедуры как реквизиция, а ЗК РФ, в свою очередь, делает акцент на временном характере изъятия земельного участка при обстоятельствах, носящих чрезвычайный характер. При этом отмечается, что государственный орган возмещает собственнику убытки, которые он понес в результате изъятия земельного участка и невозможностью его использования, а в случае отсутствия возможности возвратить участок собственнику, ему, после прекращения чрезвычайных обстоятельств, выплачивается стоимость данного участка. </w:t>
      </w:r>
    </w:p>
    <w:p w14:paraId="523153D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Как можно заметить из анализа гражданских и земельных норм, регулирующих процедуру реквизиции имущества, и в частности земельного участка, законодатель никак не упоминает иных лиц, которые по тем или иным основаниям пользуются и владеют тем же земельным участком (например, по договору аренды, в результате пожизненного наследуемого владения, постоянного (бессрочного) пользования и др.). Ни ГК РФ, ни ЗК РФ не определяют порядок возмещения убытков, понесенных арендатором, землепользователем или землевладельцем в результате реквизиции земельного участка, что несомненно является упущением. Из этого законодательного пробела следует, что в подобных случаях указанным лицам придется руководствоваться общими нормами гражданского законодательства, а </w:t>
      </w:r>
      <w:r>
        <w:rPr>
          <w:rFonts w:ascii="Times New Roman" w:hAnsi="Times New Roman" w:cs="Times New Roman"/>
          <w:sz w:val="24"/>
          <w:szCs w:val="24"/>
        </w:rPr>
        <w:lastRenderedPageBreak/>
        <w:t>именно требовать от собственника земельного участка возместить убытки, которые были вызваны расторжением договора аренды или пользования</w:t>
      </w:r>
      <w:r>
        <w:rPr>
          <w:rStyle w:val="a7"/>
          <w:rFonts w:ascii="Times New Roman" w:hAnsi="Times New Roman" w:cs="Times New Roman"/>
          <w:sz w:val="24"/>
          <w:szCs w:val="24"/>
        </w:rPr>
        <w:footnoteReference w:id="220"/>
      </w:r>
      <w:r>
        <w:rPr>
          <w:rFonts w:ascii="Times New Roman" w:hAnsi="Times New Roman" w:cs="Times New Roman"/>
          <w:sz w:val="24"/>
          <w:szCs w:val="24"/>
        </w:rPr>
        <w:t>.</w:t>
      </w:r>
    </w:p>
    <w:p w14:paraId="496AA5F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Далее, при анализе статьи 242 ГК РФ можно заметить, что процедура реквизиции имущества может быть проведена только по решению государственного органа, а ЗК РФ, в свою очередь, вносит в это правило некоторое коррективы и дает право изымать земельный участок в результате реквизиции уполномоченным исполнительным органам государственной власти.</w:t>
      </w:r>
    </w:p>
    <w:p w14:paraId="1B6DD16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Переходя к разграничению таких оснований как реквизиция и изъятие земель для государственных и муниципальных нужд, стоит отметить, что в пункте 2 статьи 51 ЗК РФ указывается, что реквизиция осуществляется по иным основаниям, нежели изъятие для государственных и муниципальных нужд. Считаем целесообразным провести сравнения данных процедур. </w:t>
      </w:r>
    </w:p>
    <w:p w14:paraId="5F07C3C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Так, общим является то, что обе процедуры проводятся в интересах общества и государства и с соответствующей компенсацией (возмещением) собственнику участка. </w:t>
      </w:r>
    </w:p>
    <w:p w14:paraId="47EF3F5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Различий гораздо больше. Самым важным и первым отличием является то, что основания для изъятия земли для государственных и муниципальных нужд:</w:t>
      </w:r>
    </w:p>
    <w:p w14:paraId="405E3C2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четко и исчерпывающе прописаны в земельном законодательстве;</w:t>
      </w:r>
    </w:p>
    <w:p w14:paraId="7A36A9E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не носят чрезвычайного характера;</w:t>
      </w:r>
    </w:p>
    <w:p w14:paraId="1E21589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в большинстве своем связаны с расширением промышленных социальных, транспортных и иных объектов, а также строительства.</w:t>
      </w:r>
    </w:p>
    <w:p w14:paraId="00515A6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Основания для проведения реквизиции законодатель по объективным причинам не может указать в законодательном акте, так как чрезвычайные обстоятельства бывают разными, поэтому в законе указан примерный перечень случаев, когда соответствующий орган может осуществить процедуру реквизиции. </w:t>
      </w:r>
    </w:p>
    <w:p w14:paraId="4C04D87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Вторым отличием служит то, что сами процедуры рассматриваемых понятий различаются, так как реквизиция предполагает незамедлительных действий для решения возникнувшей чрезвычайной проблемы, и не может проходить все указанные законодателем стадии изъятия земель для государственных и муниципальных нужд.</w:t>
      </w:r>
    </w:p>
    <w:p w14:paraId="70F0FA9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Третье отличие заключается в характере изъятия участка. Как уже было сказано ранее, реквизиция непосредственно земельных участков зачастую носит временный характер, на что указывает в правовой норме сам законодатель, в исключительных случаях может носить постоянный характер</w:t>
      </w:r>
      <w:r>
        <w:rPr>
          <w:rStyle w:val="a7"/>
          <w:rFonts w:ascii="Times New Roman" w:hAnsi="Times New Roman" w:cs="Times New Roman"/>
          <w:sz w:val="24"/>
          <w:szCs w:val="24"/>
        </w:rPr>
        <w:footnoteReference w:id="221"/>
      </w:r>
      <w:r>
        <w:rPr>
          <w:rFonts w:ascii="Times New Roman" w:hAnsi="Times New Roman" w:cs="Times New Roman"/>
          <w:sz w:val="24"/>
          <w:szCs w:val="24"/>
        </w:rPr>
        <w:t xml:space="preserve">. </w:t>
      </w:r>
    </w:p>
    <w:p w14:paraId="67C94A6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Изъятие земли  для государственных или муниципальных нужд в априори является постоянным и окончательным, так как, к примеру, после установления тех же железнодорожных путей на месте изъятого участка очевидно, что такой участок не может быть возвращен первоначальному собственнику, и последний не может в судебном порядке требовать его возврата; а собственник реквизируемого участка не может требовать от соответствующего органа предварительного и равноценного возмещения стоимости изъятого участка, так как вероятнее всего, этот же участок вернется к собственнику. Эти названные последствия являются четвертым отличием рассматриваемых понятий.</w:t>
      </w:r>
    </w:p>
    <w:p w14:paraId="3038B82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Пятым отличием является процедура возмещения причиненных убытков собственнику. Так, особенности определения размера возмещения в связи с изъятием земельных участков для государственных и муниципальных нужд регулируются отдельной статьей 56.8 ЗК РФ и ее нормы не распространяются на процедуру реквизиции, которая в свою очередь, при определении рыночной стоимости изъятого участка (только в том случае, когда после прекращения чрезвычайных обстоятельств невозможно вернуть земельный участок собственнику) руководствуется нормами гражданского законодательства, как было сказано ранее, или при желании собственника ему предоставляется равноценный земельный участок. </w:t>
      </w:r>
    </w:p>
    <w:p w14:paraId="0AFC618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Последним отличием реквизиции от изъятия земельного участка для государственных и муниципальных нужд выступают субъекты, которые вправе проводить указанные процедуры изъятия земли. На основании статьи 242 ГК РФ лицами, обладающими правом осуществлять реквизицию в отношении имущества, являются государственные органы, а в статье 51 ЗК РФ ими выступают уполномоченные исполнительные органы государственной власти. Изъятие земель для государственных и муниципальных нужд в соответствии с частью 1 статьи 56.2 ЗК РФ, помимо указанных лиц, так же могут проводить и органы местного самоуправления, у которых нет права проводить реквизицию.</w:t>
      </w:r>
    </w:p>
    <w:p w14:paraId="0F35E02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Если сравнивать реквизицию с временным занятием земельного участка (часть 5 статьи 51 ЗК РФ), то можно заметить, что эти две процедуры схожи: они возникают по одинаковым основаниям (в результате чрезвычайных обстоятельств); обе процедуры носят временный характер; осуществляются тем же органами и лицами. Есть всего два отличия реквизиции от временного занятия земли.</w:t>
      </w:r>
    </w:p>
    <w:p w14:paraId="20E4A11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Первое отличие заключается в том, что при временном занятии земельного участка права собственника на землю не прекращаются, а временно ограничиваются, и по окончанию чрезвычайных обстоятельств у собственника нет необходимости осуществлять какие-либо действия для восстановления своих прав на данные участок, а при реквизиции законодатель допускает возможность невозможности возврата земельного участка, что подразумевает под собой окончательное прекращение прав собственника на реквизируемую землю.</w:t>
      </w:r>
    </w:p>
    <w:p w14:paraId="7E04CB4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Второе характеризуется тем, что возмещение убытков, причиненных не только собственнику, но и арендатору, землепользователю и землевладельцу, временным занятием его земельного участка, происходит всем перечисленным лицам и регулируется статьей 57 ЗК РФ и Постановлением Правительства РФ от 07.05.2003 № 262</w:t>
      </w:r>
      <w:r>
        <w:rPr>
          <w:rStyle w:val="a7"/>
          <w:rFonts w:ascii="Times New Roman" w:hAnsi="Times New Roman" w:cs="Times New Roman"/>
          <w:sz w:val="24"/>
          <w:szCs w:val="24"/>
        </w:rPr>
        <w:footnoteReference w:id="222"/>
      </w:r>
      <w:r>
        <w:rPr>
          <w:rFonts w:ascii="Times New Roman" w:hAnsi="Times New Roman" w:cs="Times New Roman"/>
          <w:sz w:val="24"/>
          <w:szCs w:val="24"/>
        </w:rPr>
        <w:t xml:space="preserve">, отличии от реквизиции. </w:t>
      </w:r>
    </w:p>
    <w:p w14:paraId="18F7D13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Таким образом, проанализировав правовые нормы, регулирующие процедуру реквизиции, можно сделать вывод, что рассматриваемое основание принудительного прекращения права на земельный участок носит исключительный характер и применяется в результате чрезвычайных обстоятельств, по прекращении которых собственник получает обратно земельный участок, а если это не возможно – получает возмещение в соответствии с рыночной стоимостью участка или равноценный участок. При этом видно, что права собственника реквизиционного земельного участка при любом исходе защищены, но вот права арендатора, землепользователя или землевладельца никак не защищаются в случае реквизиции. Законодателю, несомненно, нужно устранить этот пробел. </w:t>
      </w:r>
    </w:p>
    <w:p w14:paraId="7622043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p>
    <w:p w14:paraId="1208BF0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bCs/>
          <w:sz w:val="24"/>
          <w:szCs w:val="24"/>
        </w:rPr>
      </w:pPr>
      <w:r>
        <w:rPr>
          <w:rFonts w:ascii="Times New Roman" w:hAnsi="Times New Roman" w:cs="Times New Roman"/>
          <w:b/>
          <w:bCs/>
          <w:sz w:val="24"/>
          <w:szCs w:val="24"/>
        </w:rPr>
        <w:t>Библиографический список:</w:t>
      </w:r>
    </w:p>
    <w:p w14:paraId="749410C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bCs/>
          <w:sz w:val="24"/>
          <w:szCs w:val="24"/>
        </w:rPr>
      </w:pPr>
    </w:p>
    <w:p w14:paraId="6F54A1D2" w14:textId="77777777" w:rsidR="001B6C3B" w:rsidRDefault="001B6C3B" w:rsidP="00E3198A">
      <w:pPr>
        <w:pStyle w:val="a5"/>
        <w:numPr>
          <w:ilvl w:val="0"/>
          <w:numId w:val="19"/>
        </w:numPr>
        <w:tabs>
          <w:tab w:val="left" w:pos="1134"/>
        </w:tabs>
        <w:ind w:left="0" w:firstLine="709"/>
        <w:jc w:val="both"/>
        <w:rPr>
          <w:rFonts w:ascii="Times New Roman" w:hAnsi="Times New Roman" w:cs="Times New Roman"/>
          <w:sz w:val="24"/>
          <w:szCs w:val="24"/>
        </w:rPr>
      </w:pPr>
      <w:r>
        <w:rPr>
          <w:rFonts w:ascii="Times New Roman" w:hAnsi="Times New Roman" w:cs="Times New Roman"/>
          <w:sz w:val="24"/>
          <w:szCs w:val="24"/>
        </w:rPr>
        <w:t>Балашова Т.Н. Реквизиция как основание прекращения права собственности на земельные участки в действующем российском законодательстве // Известия высших учебных заведений. Поволжский регион. Общественные науки. 2018. № 3 (47). – С. 34-38.</w:t>
      </w:r>
    </w:p>
    <w:p w14:paraId="1CD0D520" w14:textId="77777777" w:rsidR="001B6C3B" w:rsidRDefault="001B6C3B" w:rsidP="00E3198A">
      <w:pPr>
        <w:pStyle w:val="a5"/>
        <w:numPr>
          <w:ilvl w:val="0"/>
          <w:numId w:val="19"/>
        </w:numPr>
        <w:tabs>
          <w:tab w:val="left" w:pos="1134"/>
        </w:tabs>
        <w:ind w:left="0" w:firstLine="709"/>
        <w:jc w:val="both"/>
        <w:rPr>
          <w:rFonts w:ascii="Times New Roman" w:hAnsi="Times New Roman" w:cs="Times New Roman"/>
          <w:sz w:val="24"/>
          <w:szCs w:val="24"/>
        </w:rPr>
      </w:pPr>
      <w:r>
        <w:rPr>
          <w:rFonts w:ascii="Times New Roman" w:hAnsi="Times New Roman" w:cs="Times New Roman"/>
          <w:sz w:val="24"/>
          <w:szCs w:val="24"/>
        </w:rPr>
        <w:t xml:space="preserve">Гринь Е.А. Понятие принудительного прекращения прав на земельные участки и классификация его оснований // Уникальные исследования </w:t>
      </w:r>
      <w:r>
        <w:rPr>
          <w:rFonts w:ascii="Times New Roman" w:hAnsi="Times New Roman" w:cs="Times New Roman"/>
          <w:sz w:val="24"/>
          <w:szCs w:val="24"/>
          <w:lang w:val="en-US"/>
        </w:rPr>
        <w:t>XXI</w:t>
      </w:r>
      <w:r>
        <w:rPr>
          <w:rFonts w:ascii="Times New Roman" w:hAnsi="Times New Roman" w:cs="Times New Roman"/>
          <w:sz w:val="24"/>
          <w:szCs w:val="24"/>
        </w:rPr>
        <w:t xml:space="preserve"> века. 2015. № 1 (1). – С. 21-43.</w:t>
      </w:r>
    </w:p>
    <w:p w14:paraId="128CEC64" w14:textId="77777777" w:rsidR="001B6C3B" w:rsidRDefault="001B6C3B" w:rsidP="00E3198A">
      <w:pPr>
        <w:pStyle w:val="a5"/>
        <w:numPr>
          <w:ilvl w:val="0"/>
          <w:numId w:val="19"/>
        </w:numPr>
        <w:tabs>
          <w:tab w:val="left" w:pos="1134"/>
        </w:tabs>
        <w:ind w:left="0" w:firstLine="709"/>
        <w:jc w:val="both"/>
        <w:rPr>
          <w:rFonts w:ascii="Times New Roman" w:hAnsi="Times New Roman" w:cs="Times New Roman"/>
          <w:sz w:val="24"/>
          <w:szCs w:val="24"/>
        </w:rPr>
      </w:pPr>
      <w:r>
        <w:rPr>
          <w:rFonts w:ascii="Times New Roman" w:hAnsi="Times New Roman" w:cs="Times New Roman"/>
          <w:sz w:val="24"/>
          <w:szCs w:val="24"/>
        </w:rPr>
        <w:t>Гряда Э.А., Траскунов В.А. К вопросу о основаниях возникновения, ограничения и прекращения прав на земельные участки лиц, не являющихся собственниками // Молодой ученый. 2016. № 21 (125). – С. 587-589.</w:t>
      </w:r>
    </w:p>
    <w:p w14:paraId="435581E8" w14:textId="77777777" w:rsidR="001B6C3B" w:rsidRDefault="001B6C3B" w:rsidP="00E3198A">
      <w:pPr>
        <w:pStyle w:val="a5"/>
        <w:numPr>
          <w:ilvl w:val="0"/>
          <w:numId w:val="19"/>
        </w:numPr>
        <w:tabs>
          <w:tab w:val="left" w:pos="1134"/>
        </w:tabs>
        <w:ind w:left="0" w:firstLine="709"/>
        <w:jc w:val="both"/>
        <w:rPr>
          <w:rFonts w:ascii="Times New Roman" w:hAnsi="Times New Roman" w:cs="Times New Roman"/>
          <w:sz w:val="24"/>
          <w:szCs w:val="24"/>
        </w:rPr>
      </w:pPr>
      <w:r>
        <w:rPr>
          <w:rFonts w:ascii="Times New Roman" w:hAnsi="Times New Roman" w:cs="Times New Roman"/>
          <w:sz w:val="24"/>
          <w:szCs w:val="24"/>
        </w:rPr>
        <w:t>Сонина ДД. Реквизиция и изъятие земельных участков для государственных и муниципальных нужд как основание прекращения прав на землю // Проблемы в российском законодательстве. 2012. № 1. – С. 110-113.</w:t>
      </w:r>
    </w:p>
    <w:p w14:paraId="4265895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sectPr w:rsidR="001B6C3B">
          <w:footnotePr>
            <w:numRestart w:val="eachPage"/>
          </w:footnotePr>
          <w:pgSz w:w="11906" w:h="16838"/>
          <w:pgMar w:top="1134" w:right="1134" w:bottom="1134" w:left="1134" w:header="709" w:footer="709" w:gutter="0"/>
          <w:cols w:space="720"/>
        </w:sectPr>
      </w:pPr>
    </w:p>
    <w:p w14:paraId="4C534D5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ascii="Times New Roman" w:hAnsi="Times New Roman" w:cs="Times New Roman"/>
          <w:sz w:val="24"/>
          <w:szCs w:val="24"/>
        </w:rPr>
      </w:pPr>
    </w:p>
    <w:p w14:paraId="32CBB27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Fonts w:ascii="Times New Roman" w:hAnsi="Times New Roman" w:cs="Times New Roman"/>
          <w:bCs/>
          <w:sz w:val="24"/>
          <w:szCs w:val="24"/>
        </w:rPr>
      </w:pPr>
      <w:r>
        <w:rPr>
          <w:rFonts w:ascii="Times New Roman" w:hAnsi="Times New Roman" w:cs="Times New Roman"/>
          <w:bCs/>
          <w:sz w:val="24"/>
          <w:szCs w:val="24"/>
        </w:rPr>
        <w:t>УДК 347.468.5</w:t>
      </w:r>
    </w:p>
    <w:p w14:paraId="4B8961B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Fonts w:ascii="Times New Roman" w:hAnsi="Times New Roman" w:cs="Times New Roman"/>
          <w:sz w:val="24"/>
          <w:szCs w:val="24"/>
        </w:rPr>
      </w:pPr>
    </w:p>
    <w:p w14:paraId="7077241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left="4820"/>
        <w:jc w:val="both"/>
        <w:rPr>
          <w:rFonts w:ascii="Times New Roman" w:hAnsi="Times New Roman" w:cs="Times New Roman"/>
          <w:b/>
          <w:sz w:val="24"/>
          <w:szCs w:val="24"/>
        </w:rPr>
      </w:pPr>
      <w:r>
        <w:rPr>
          <w:rFonts w:ascii="Times New Roman" w:hAnsi="Times New Roman" w:cs="Times New Roman"/>
          <w:b/>
          <w:sz w:val="24"/>
          <w:szCs w:val="24"/>
        </w:rPr>
        <w:t>Маслак Илья Николаевич</w:t>
      </w:r>
    </w:p>
    <w:p w14:paraId="25B15CE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left="4820"/>
        <w:jc w:val="both"/>
        <w:rPr>
          <w:rFonts w:ascii="Times New Roman" w:hAnsi="Times New Roman" w:cs="Times New Roman"/>
          <w:b/>
          <w:sz w:val="24"/>
          <w:szCs w:val="24"/>
        </w:rPr>
      </w:pPr>
      <w:r>
        <w:rPr>
          <w:rFonts w:ascii="Times New Roman" w:hAnsi="Times New Roman" w:cs="Times New Roman"/>
          <w:b/>
          <w:sz w:val="24"/>
          <w:szCs w:val="24"/>
          <w:lang w:val="en-US"/>
        </w:rPr>
        <w:t>Maslak Ilya Nikolaevich</w:t>
      </w:r>
    </w:p>
    <w:p w14:paraId="2046DB9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Fonts w:ascii="Times New Roman" w:hAnsi="Times New Roman" w:cs="Times New Roman"/>
          <w:sz w:val="24"/>
          <w:szCs w:val="24"/>
        </w:rPr>
      </w:pPr>
      <w:r>
        <w:rPr>
          <w:rFonts w:ascii="Times New Roman" w:hAnsi="Times New Roman" w:cs="Times New Roman"/>
          <w:sz w:val="24"/>
          <w:szCs w:val="24"/>
        </w:rPr>
        <w:t xml:space="preserve">бакалавр </w:t>
      </w:r>
    </w:p>
    <w:p w14:paraId="59642F5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Fonts w:ascii="Times New Roman" w:hAnsi="Times New Roman" w:cs="Times New Roman"/>
          <w:sz w:val="24"/>
          <w:szCs w:val="24"/>
        </w:rPr>
      </w:pPr>
      <w:r>
        <w:rPr>
          <w:rFonts w:ascii="Times New Roman" w:hAnsi="Times New Roman" w:cs="Times New Roman"/>
          <w:sz w:val="24"/>
          <w:szCs w:val="24"/>
        </w:rPr>
        <w:t>Федеральное государственное бюджетное образовательное учреждение высшего образования «Кубанский государственный аграрный университет имени И.Т. Трубилина»</w:t>
      </w:r>
    </w:p>
    <w:p w14:paraId="7378E88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Fonts w:ascii="Times New Roman" w:hAnsi="Times New Roman" w:cs="Times New Roman"/>
          <w:sz w:val="24"/>
          <w:szCs w:val="24"/>
          <w:lang w:val="en-US"/>
        </w:rPr>
      </w:pPr>
      <w:r>
        <w:rPr>
          <w:rFonts w:ascii="Times New Roman" w:hAnsi="Times New Roman" w:cs="Times New Roman"/>
          <w:sz w:val="24"/>
          <w:szCs w:val="24"/>
          <w:lang w:val="en-US"/>
        </w:rPr>
        <w:t>Federal State Budgetary Educational Institution of Higher Education</w:t>
      </w:r>
    </w:p>
    <w:p w14:paraId="007C9D2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Fonts w:ascii="Times New Roman" w:hAnsi="Times New Roman" w:cs="Times New Roman"/>
          <w:sz w:val="24"/>
          <w:szCs w:val="24"/>
          <w:lang w:val="en-US"/>
        </w:rPr>
      </w:pPr>
      <w:r>
        <w:rPr>
          <w:rFonts w:ascii="Times New Roman" w:hAnsi="Times New Roman" w:cs="Times New Roman"/>
          <w:sz w:val="24"/>
          <w:szCs w:val="24"/>
          <w:lang w:val="en-US"/>
        </w:rPr>
        <w:t>“Kuban State Agrarian University named after I.T. Trubilin”</w:t>
      </w:r>
    </w:p>
    <w:p w14:paraId="47A546B8"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820"/>
        <w:jc w:val="both"/>
        <w:rPr>
          <w:lang w:val="ru-RU" w:eastAsia="en-US"/>
        </w:rPr>
      </w:pPr>
      <w:r>
        <w:rPr>
          <w:lang w:val="ru-RU" w:eastAsia="en-US"/>
        </w:rPr>
        <w:t>Российская Федерация, г. Краснодар</w:t>
      </w:r>
    </w:p>
    <w:p w14:paraId="2A96D61D"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820"/>
        <w:jc w:val="both"/>
        <w:rPr>
          <w:lang w:val="ru-RU" w:eastAsia="en-US"/>
        </w:rPr>
      </w:pPr>
      <w:r>
        <w:rPr>
          <w:lang w:eastAsia="en-US"/>
        </w:rPr>
        <w:t>RussianFederation</w:t>
      </w:r>
      <w:r>
        <w:rPr>
          <w:lang w:val="ru-RU" w:eastAsia="en-US"/>
        </w:rPr>
        <w:t xml:space="preserve">, </w:t>
      </w:r>
      <w:r>
        <w:rPr>
          <w:lang w:eastAsia="en-US"/>
        </w:rPr>
        <w:t>Krasnodar</w:t>
      </w:r>
    </w:p>
    <w:p w14:paraId="77A0F09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Fonts w:ascii="Times New Roman" w:hAnsi="Times New Roman" w:cs="Times New Roman"/>
          <w:sz w:val="24"/>
          <w:szCs w:val="24"/>
        </w:rPr>
      </w:pPr>
      <w:r>
        <w:rPr>
          <w:rFonts w:ascii="Times New Roman" w:hAnsi="Times New Roman" w:cs="Times New Roman"/>
          <w:sz w:val="24"/>
          <w:szCs w:val="24"/>
          <w:lang w:val="en-US"/>
        </w:rPr>
        <w:t>Ilya</w:t>
      </w:r>
      <w:r>
        <w:rPr>
          <w:rFonts w:ascii="Times New Roman" w:hAnsi="Times New Roman" w:cs="Times New Roman"/>
          <w:sz w:val="24"/>
          <w:szCs w:val="24"/>
        </w:rPr>
        <w:t>.527@</w:t>
      </w:r>
      <w:r>
        <w:rPr>
          <w:rFonts w:ascii="Times New Roman" w:hAnsi="Times New Roman" w:cs="Times New Roman"/>
          <w:sz w:val="24"/>
          <w:szCs w:val="24"/>
          <w:lang w:val="en-US"/>
        </w:rPr>
        <w:t>yandex</w:t>
      </w:r>
      <w:r>
        <w:rPr>
          <w:rFonts w:ascii="Times New Roman" w:hAnsi="Times New Roman" w:cs="Times New Roman"/>
          <w:sz w:val="24"/>
          <w:szCs w:val="24"/>
        </w:rPr>
        <w:t>.</w:t>
      </w:r>
      <w:r>
        <w:rPr>
          <w:rFonts w:ascii="Times New Roman" w:hAnsi="Times New Roman" w:cs="Times New Roman"/>
          <w:sz w:val="24"/>
          <w:szCs w:val="24"/>
          <w:lang w:val="en-US"/>
        </w:rPr>
        <w:t>ru</w:t>
      </w:r>
    </w:p>
    <w:p w14:paraId="743B042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Научный руководитель:</w:t>
      </w:r>
    </w:p>
    <w:p w14:paraId="171B660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Fonts w:ascii="Times New Roman" w:hAnsi="Times New Roman" w:cs="Times New Roman"/>
          <w:bCs/>
          <w:sz w:val="24"/>
          <w:szCs w:val="24"/>
        </w:rPr>
      </w:pPr>
      <w:r>
        <w:rPr>
          <w:rFonts w:ascii="Times New Roman" w:eastAsia="Times New Roman" w:hAnsi="Times New Roman" w:cs="Times New Roman"/>
          <w:sz w:val="24"/>
          <w:szCs w:val="24"/>
        </w:rPr>
        <w:t>Седова Н.А.</w:t>
      </w:r>
    </w:p>
    <w:p w14:paraId="1124BE0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Cs/>
          <w:sz w:val="24"/>
          <w:szCs w:val="24"/>
        </w:rPr>
      </w:pPr>
    </w:p>
    <w:p w14:paraId="499AFCF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hAnsi="Times New Roman" w:cs="Times New Roman"/>
          <w:b/>
          <w:bCs/>
          <w:sz w:val="24"/>
          <w:szCs w:val="24"/>
        </w:rPr>
      </w:pPr>
      <w:r>
        <w:rPr>
          <w:rFonts w:ascii="Times New Roman" w:hAnsi="Times New Roman" w:cs="Times New Roman"/>
          <w:b/>
          <w:bCs/>
          <w:sz w:val="24"/>
          <w:szCs w:val="24"/>
        </w:rPr>
        <w:t>ПОРУЧИТЕЛЬСТВО В МЕХАНИЗМНЕ ОБЕСПЕЧЕНИЯ ИСПОЛНЕНИЯ ОБЯЗАТЕЛЬСТВА</w:t>
      </w:r>
    </w:p>
    <w:p w14:paraId="59E680B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hAnsi="Times New Roman" w:cs="Times New Roman"/>
          <w:b/>
          <w:bCs/>
          <w:sz w:val="24"/>
          <w:szCs w:val="24"/>
        </w:rPr>
      </w:pPr>
    </w:p>
    <w:p w14:paraId="7AE3E9A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hAnsi="Times New Roman" w:cs="Times New Roman"/>
          <w:b/>
          <w:bCs/>
          <w:sz w:val="24"/>
          <w:szCs w:val="24"/>
          <w:lang w:val="en-US"/>
        </w:rPr>
      </w:pPr>
      <w:r>
        <w:rPr>
          <w:rFonts w:ascii="Times New Roman" w:hAnsi="Times New Roman" w:cs="Times New Roman"/>
          <w:b/>
          <w:bCs/>
          <w:sz w:val="24"/>
          <w:szCs w:val="24"/>
          <w:lang w:val="en-US"/>
        </w:rPr>
        <w:t>GUARANTEE IN THE MECHANISM OF ENSURING EXECUTION OF EVIDENCE</w:t>
      </w:r>
    </w:p>
    <w:p w14:paraId="1487A65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bCs/>
          <w:sz w:val="24"/>
          <w:szCs w:val="24"/>
          <w:lang w:val="en-US"/>
        </w:rPr>
      </w:pPr>
    </w:p>
    <w:p w14:paraId="3304A55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bCs/>
          <w:sz w:val="24"/>
          <w:szCs w:val="24"/>
        </w:rPr>
      </w:pPr>
      <w:r>
        <w:rPr>
          <w:rFonts w:ascii="Times New Roman" w:hAnsi="Times New Roman" w:cs="Times New Roman"/>
          <w:bCs/>
          <w:i/>
          <w:sz w:val="24"/>
          <w:szCs w:val="24"/>
        </w:rPr>
        <w:t>Аннотация:</w:t>
      </w:r>
      <w:r>
        <w:rPr>
          <w:rFonts w:ascii="Times New Roman" w:hAnsi="Times New Roman" w:cs="Times New Roman"/>
          <w:bCs/>
          <w:sz w:val="24"/>
          <w:szCs w:val="24"/>
        </w:rPr>
        <w:t xml:space="preserve"> в статье рассматривается один из способов обеспечения исполнения обязательства – поручительство и возможные проблемы, с ним связанные. Также исследуется мнение различных ученых, посвященных данному институту. Уделяется внимание юридической природе поручительства, а также некоторым особенностям, связанным с  заключением договора поручительства.</w:t>
      </w:r>
    </w:p>
    <w:p w14:paraId="544765E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Cs/>
          <w:i/>
          <w:sz w:val="24"/>
          <w:szCs w:val="24"/>
        </w:rPr>
      </w:pPr>
    </w:p>
    <w:p w14:paraId="521E09D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Cs/>
          <w:sz w:val="24"/>
          <w:szCs w:val="24"/>
        </w:rPr>
      </w:pPr>
      <w:r>
        <w:rPr>
          <w:rFonts w:ascii="Times New Roman" w:hAnsi="Times New Roman" w:cs="Times New Roman"/>
          <w:bCs/>
          <w:i/>
          <w:sz w:val="24"/>
          <w:szCs w:val="24"/>
        </w:rPr>
        <w:t>Ключевые слова:</w:t>
      </w:r>
      <w:r>
        <w:rPr>
          <w:rFonts w:ascii="Times New Roman" w:hAnsi="Times New Roman" w:cs="Times New Roman"/>
          <w:bCs/>
          <w:sz w:val="24"/>
          <w:szCs w:val="24"/>
        </w:rPr>
        <w:t xml:space="preserve"> договор; поручительство; обязательство; кредитор; должник; субъект договора; способы обеспечения исполнения обязательств.</w:t>
      </w:r>
    </w:p>
    <w:p w14:paraId="656C67A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p>
    <w:p w14:paraId="0AD156C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lang w:val="en-US"/>
        </w:rPr>
      </w:pPr>
      <w:r>
        <w:rPr>
          <w:rFonts w:ascii="Times New Roman" w:hAnsi="Times New Roman" w:cs="Times New Roman"/>
          <w:i/>
          <w:sz w:val="24"/>
          <w:szCs w:val="24"/>
          <w:lang w:val="en-US"/>
        </w:rPr>
        <w:t>Annotation</w:t>
      </w:r>
      <w:r>
        <w:rPr>
          <w:rFonts w:ascii="Times New Roman" w:hAnsi="Times New Roman" w:cs="Times New Roman"/>
          <w:sz w:val="24"/>
          <w:szCs w:val="24"/>
          <w:lang w:val="en-US"/>
        </w:rPr>
        <w:t>:  the article considers one of the ways to ensure the fulfillment of an obligation - a guarantee and possible problems associated with it. The opinion of various scientists dedicated to this institute is also investigated. Attention is paid to the legal nature of the guarantee, as well as some features related to the conclusion of a guarantee agreement.</w:t>
      </w:r>
    </w:p>
    <w:p w14:paraId="1BF9B88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
          <w:sz w:val="24"/>
          <w:szCs w:val="24"/>
          <w:lang w:val="en-US"/>
        </w:rPr>
      </w:pPr>
    </w:p>
    <w:p w14:paraId="5627DB8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lang w:val="en-US"/>
        </w:rPr>
      </w:pPr>
      <w:r>
        <w:rPr>
          <w:rFonts w:ascii="Times New Roman" w:hAnsi="Times New Roman" w:cs="Times New Roman"/>
          <w:i/>
          <w:sz w:val="24"/>
          <w:szCs w:val="24"/>
          <w:lang w:val="en-US"/>
        </w:rPr>
        <w:t>Keywords</w:t>
      </w:r>
      <w:r>
        <w:rPr>
          <w:rFonts w:ascii="Times New Roman" w:hAnsi="Times New Roman" w:cs="Times New Roman"/>
          <w:sz w:val="24"/>
          <w:szCs w:val="24"/>
          <w:lang w:val="en-US"/>
        </w:rPr>
        <w:t>: agreement; surety; obligation; creditor; debtor; subject of the agreement; ways to ensure fulfillment of obligations.</w:t>
      </w:r>
    </w:p>
    <w:p w14:paraId="521E438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Cs/>
          <w:sz w:val="24"/>
          <w:szCs w:val="24"/>
          <w:lang w:val="en-US"/>
        </w:rPr>
      </w:pPr>
      <w:r>
        <w:rPr>
          <w:rFonts w:ascii="Times New Roman" w:hAnsi="Times New Roman" w:cs="Times New Roman"/>
          <w:bCs/>
          <w:sz w:val="24"/>
          <w:szCs w:val="24"/>
          <w:lang w:val="en-US"/>
        </w:rPr>
        <w:tab/>
      </w:r>
    </w:p>
    <w:p w14:paraId="6E12732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В связи с конфликтом интересов сторон в гражданском обязательстве, законодатель обращает внимание на охрану субъективных прав кредитора. Гражданско-правовые положения, касающиеся способов обеспечения исполнения обязательства сформированы в различных законодательных актах. Под способами обеспечения исполнения обязательства следует понимать правовые средства, с помощью которых в пользу кредитора устанавливается дополнительное средство, обеспечивающее обязательства.</w:t>
      </w:r>
      <w:r>
        <w:rPr>
          <w:rFonts w:ascii="Times New Roman" w:hAnsi="Times New Roman" w:cs="Times New Roman"/>
          <w:bCs/>
          <w:sz w:val="24"/>
          <w:szCs w:val="24"/>
        </w:rPr>
        <w:tab/>
        <w:t>В договорной практике они обычно устанавливаются в рамках процесса заключения договора, а вот реализуются уже на стадии  его исполнения.</w:t>
      </w:r>
      <w:r>
        <w:rPr>
          <w:rFonts w:ascii="Times New Roman" w:hAnsi="Times New Roman" w:cs="Times New Roman"/>
          <w:bCs/>
          <w:sz w:val="24"/>
          <w:szCs w:val="24"/>
        </w:rPr>
        <w:tab/>
      </w:r>
    </w:p>
    <w:p w14:paraId="54D9885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lastRenderedPageBreak/>
        <w:t>Способы обеспечения исполнения обязательства предусматривают создание источника исполнения нарушенного обязательства, с помощью которого кредитор удовлетворяет свое требование в полном объеме, тем самым получает исполнение нарушенного должником договора в порядке защиты. Сам источник исполнения нарушенного обязательства может создаваться или должником, или же за счёт должника именно в интересах кредитора на случай возможного нарушения должником своей обязанности по договору в размере долга. К таковым источникам может относиться не только конкретное имущество (при залоге, удержании), но и обязанность третьего лица исполнить обязательство должника, например, при поручительстве.</w:t>
      </w:r>
    </w:p>
    <w:p w14:paraId="384F9F1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Поручительство  на сегодняшний день, является одним из древнейших институтов, который известен современным системам гражданского права стран континентальной </w:t>
      </w:r>
      <w:r>
        <w:rPr>
          <w:rFonts w:ascii="Times New Roman" w:hAnsi="Times New Roman" w:cs="Times New Roman"/>
          <w:sz w:val="24"/>
          <w:szCs w:val="24"/>
        </w:rPr>
        <w:t>правовой системы. В действующем Гражданском кодексе Российской Федерации институт поручительства причислен к способам обеспечения исполнения обязательств. Данный способ оформляется договором поручительства.</w:t>
      </w:r>
      <w:r>
        <w:rPr>
          <w:rFonts w:ascii="Times New Roman" w:hAnsi="Times New Roman" w:cs="Times New Roman"/>
          <w:bCs/>
          <w:sz w:val="24"/>
          <w:szCs w:val="24"/>
        </w:rPr>
        <w:t xml:space="preserve"> Выделяются несколько конструкций поручительства, которые различаются по правовым последствиям. А именно, речь идет о совместном и раздельном поручительстве. </w:t>
      </w:r>
      <w:r>
        <w:rPr>
          <w:rStyle w:val="a7"/>
          <w:rFonts w:ascii="Times New Roman" w:hAnsi="Times New Roman" w:cs="Times New Roman"/>
          <w:sz w:val="24"/>
          <w:szCs w:val="24"/>
        </w:rPr>
        <w:footnoteReference w:id="223"/>
      </w:r>
    </w:p>
    <w:p w14:paraId="6197CF8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современном мире отношения, связанные с поручительством находят широкое применение в коммерческом обороте. Так, по договору поручительства поручитель обязывается перед кредитором другого лица отвечать за исполнение последним его обязательства полностью или в части.  Вместе с тем под договором поручительства следует понимать двустороннюю сделку, одной стороной которой является кредитор, а другой поручитель. При этом, кредитор есть лицо правомочное, а поручитель же представляет собой лицо, которое несет обязанность перед кредитором отвечать за исполнение должником кредитора какого-либо обязательства. </w:t>
      </w:r>
    </w:p>
    <w:p w14:paraId="180196D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Так, Белов  В.А.  рассматривает поручительство как определенное гражданское правоотношение, содержанием которого является ответственность поручителя за нарушение прав и охраняемых законом интересов активного субъекта определенных отношений, которое последовало со стороны обязанного субъекта.</w:t>
      </w:r>
    </w:p>
    <w:p w14:paraId="1005327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Ненадлежащее исполнение должника своих обязательства, создает условия, при котором поручитель приобретает права кредитора в соответствующем объеме, заплатив кредитору определенную сумму, размер которой определяется причиненным нарушением исполнения обязательств, а кредитор в этом случае не утрачивает права требовать от должника надлежащего исполнения.</w:t>
      </w:r>
      <w:r>
        <w:rPr>
          <w:rStyle w:val="a7"/>
          <w:rFonts w:ascii="Times New Roman" w:hAnsi="Times New Roman" w:cs="Times New Roman"/>
          <w:bCs/>
          <w:sz w:val="24"/>
          <w:szCs w:val="24"/>
        </w:rPr>
        <w:footnoteReference w:id="224"/>
      </w:r>
    </w:p>
    <w:p w14:paraId="326DD01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Гражданский кодекс РФ закрепляет положение о том, что  поручительство может возникнуть не только из договора, но и на основании закона. Договор поручительства должен быть совершен сторонами в письменной форме, несоблюдение которой влечет за собой его недействительность. Объем прав и ответственности поручителя соответствует правам и ответственности должника по обязательству.  Заключение договора поручительства после наступления срока исполнения основного обязательства, не исполненного должником, не является основанием для признания такого договора недействительной сделкой, так как закон не содержит запрета на установление обеспечения по просроченному обязательству. Кроме того, поручительство может быть дано в отношении обязательства, возникшего не из договора, например, по возмещению причиненного вреда, возврату неосновательного обогащения.</w:t>
      </w:r>
    </w:p>
    <w:p w14:paraId="39D468B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Исполнение обязательства поручителем вместо должника приводит к определенным юридическим последствиям. Так, к исполнившему обязательству поручителю переходят права кредитора по этому обязательству, в свою очередь у кредитора появляются свои обязанности, связанные с получением исполнения. Поручитель же имеет право выдвинуть возражения </w:t>
      </w:r>
      <w:r>
        <w:rPr>
          <w:rFonts w:ascii="Times New Roman" w:hAnsi="Times New Roman" w:cs="Times New Roman"/>
          <w:bCs/>
          <w:sz w:val="24"/>
          <w:szCs w:val="24"/>
        </w:rPr>
        <w:lastRenderedPageBreak/>
        <w:t>против требования кредитора, которые мог бы представить должник, если иное не вытекает из договора поручительства. Однако, если должник отказался от этих возражений, то поручитель все равно не теряет на них права.</w:t>
      </w:r>
    </w:p>
    <w:p w14:paraId="24C2A32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Изучая природу отношений поручителя и кредитора, Гринь О.С. делает вывод о том, что поручитель, при неисполнении основного обязательства, уплатив кредитору денежную сумму в размере, который соответствует объему причиненных ему убытков, также приобретает его права в соответствующем объем. Первоначальный же кредитор выбывает из из основного обязательства.</w:t>
      </w:r>
    </w:p>
    <w:p w14:paraId="59F8F09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Договор, который заключают между собой организации, предоставляет поручителю обязанность, вследствие который он отвечает за исполнение обязанности по уплате долга и неустойки организацией-должником обязанности перед кредитором.</w:t>
      </w:r>
      <w:r>
        <w:rPr>
          <w:rStyle w:val="a7"/>
          <w:rFonts w:ascii="Times New Roman" w:hAnsi="Times New Roman" w:cs="Times New Roman"/>
          <w:bCs/>
          <w:sz w:val="24"/>
          <w:szCs w:val="24"/>
        </w:rPr>
        <w:t xml:space="preserve"> </w:t>
      </w:r>
      <w:r>
        <w:rPr>
          <w:rStyle w:val="a7"/>
          <w:rFonts w:ascii="Times New Roman" w:hAnsi="Times New Roman" w:cs="Times New Roman"/>
          <w:bCs/>
          <w:sz w:val="24"/>
          <w:szCs w:val="24"/>
        </w:rPr>
        <w:footnoteReference w:id="225"/>
      </w:r>
    </w:p>
    <w:p w14:paraId="3E33D01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Так, к примеру, организации могут между собой заключить договор, в соответствии с которым, поручитель  несет обязанность отвечать перед кредитором за исполнение организацией-должником обязанности по уплате долга и неустойки. Должник, в свою очередь, может допустить неисполнение обязательства. Именно по этой причине кредитор имеет право требовать исполнение обязательства уже от поручителя. Договор поручительства, заключенный с целью обеспечения исполнения обязательства, может быть предусмотрен  и для обязательства, возникающего в будущем.</w:t>
      </w:r>
    </w:p>
    <w:p w14:paraId="64C3C5E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Предусмотренные договором поручительства по будущим обязательствам различные дополнительные права и обязанности,  а таковыми могут быть к примеру, обязанность поручителя поддерживать определенный остаток на счетах в банке, или же обязанность раскрывать кредитору информацию об определенных фактах, возникнут с момента достижения согласия между сторонами договора по его существенным условиям</w:t>
      </w:r>
    </w:p>
    <w:p w14:paraId="458BC87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Дискуссия, касательно этого вопроса сводится к двум основным позициям. </w:t>
      </w:r>
    </w:p>
    <w:p w14:paraId="1E967B1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Первая позиция  определяется тем, что поручитель входит в правоотношения кредитора и должника на основании заключенного им договора, и выступает на стороне должника, обязуясь выполнить тебе действия, которые должен был исполнить сам должник. Таким образом, кредитору предоставляется возможность обратиться к поручителю, если он не получил исполнения обязательства, и по этой причине у поручителя появляется обязанность исполнить данное обязательство.</w:t>
      </w:r>
    </w:p>
    <w:p w14:paraId="0DFDC10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Вторая позиция основывается на предположении о том, что при заключении договора поручительства, поручитель принимает на себя самостоятельное обязательство перед кредитором, содержанием которого является обязанность поручителя в случае просрочки должника возместить кредитору все причиненные имущественные потери.</w:t>
      </w:r>
      <w:r>
        <w:rPr>
          <w:rStyle w:val="a7"/>
          <w:rFonts w:ascii="Times New Roman" w:hAnsi="Times New Roman" w:cs="Times New Roman"/>
          <w:bCs/>
          <w:sz w:val="24"/>
          <w:szCs w:val="24"/>
        </w:rPr>
        <w:footnoteReference w:id="226"/>
      </w:r>
    </w:p>
    <w:p w14:paraId="5AE2296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Сегодня появляется проблема, которая определена сущностью обратного требования поручителя, исполнившего обязательство, но уже к должнику. Она сводится, к тому, что обязательство, которое исполняет поручитель вместо должника, необходимо считать прекращенным в результате исполнения. Из этого можно сделать вывод о том, что обратное обязательство, которое уже в свою очередь возникает у поручителя к должнику должно рассматриваться как регрессное, то есть, как новое требование.</w:t>
      </w:r>
      <w:r>
        <w:rPr>
          <w:rFonts w:ascii="Times New Roman" w:hAnsi="Times New Roman" w:cs="Times New Roman"/>
          <w:bCs/>
          <w:sz w:val="24"/>
          <w:szCs w:val="24"/>
        </w:rPr>
        <w:br/>
      </w:r>
      <w:r>
        <w:rPr>
          <w:rFonts w:ascii="Times New Roman" w:hAnsi="Times New Roman" w:cs="Times New Roman"/>
          <w:bCs/>
          <w:sz w:val="24"/>
          <w:szCs w:val="24"/>
        </w:rPr>
        <w:tab/>
        <w:t>Также существует мнение</w:t>
      </w:r>
      <w:r>
        <w:rPr>
          <w:rFonts w:ascii="Times New Roman" w:hAnsi="Times New Roman" w:cs="Times New Roman"/>
          <w:sz w:val="24"/>
          <w:szCs w:val="24"/>
          <w:shd w:val="clear" w:color="auto" w:fill="FFFFFF"/>
        </w:rPr>
        <w:t xml:space="preserve"> </w:t>
      </w:r>
      <w:r>
        <w:rPr>
          <w:rFonts w:ascii="Times New Roman" w:hAnsi="Times New Roman" w:cs="Times New Roman"/>
          <w:bCs/>
          <w:sz w:val="24"/>
          <w:szCs w:val="24"/>
        </w:rPr>
        <w:t>И. А. Покровского, касающиеся данной проблемы, в соответствии с которым обязательство, исполненное поручителем самостоятельно, даёт ему право требовать в отношении должника, но уже без помощи конструкции регресса, а с использованием перехода к нему того требования, который имел кредитор в отношении должника.</w:t>
      </w:r>
    </w:p>
    <w:p w14:paraId="315BB07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Необходимо отметить, что обязательство, которое исполняет поручитель, следует брать во внимание как исполнение обязательства из договора поручительства, то есть собственного </w:t>
      </w:r>
      <w:r>
        <w:rPr>
          <w:rFonts w:ascii="Times New Roman" w:hAnsi="Times New Roman" w:cs="Times New Roman"/>
          <w:bCs/>
          <w:sz w:val="24"/>
          <w:szCs w:val="24"/>
        </w:rPr>
        <w:lastRenderedPageBreak/>
        <w:t>обязательства поручителя, а не основного обязательства. Поручитель  не выступает в качестве содолжника в обеспеченном поручительстве, он просто исполняет договор поручительства.</w:t>
      </w:r>
      <w:r>
        <w:rPr>
          <w:rStyle w:val="a7"/>
          <w:rFonts w:ascii="Times New Roman" w:hAnsi="Times New Roman" w:cs="Times New Roman"/>
          <w:bCs/>
          <w:sz w:val="24"/>
          <w:szCs w:val="24"/>
        </w:rPr>
        <w:footnoteReference w:id="227"/>
      </w:r>
    </w:p>
    <w:p w14:paraId="258E4AE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российской науке на протяжении длительного времени идет спор о том, какие правовые последствия для поручителя возникают после исполнения обязательства. </w:t>
      </w:r>
    </w:p>
    <w:p w14:paraId="5EDB7EA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bCs/>
          <w:sz w:val="24"/>
          <w:szCs w:val="24"/>
        </w:rPr>
      </w:pPr>
    </w:p>
    <w:p w14:paraId="2597334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bCs/>
          <w:sz w:val="24"/>
          <w:szCs w:val="24"/>
        </w:rPr>
      </w:pPr>
      <w:r>
        <w:rPr>
          <w:rFonts w:ascii="Times New Roman" w:hAnsi="Times New Roman" w:cs="Times New Roman"/>
          <w:b/>
          <w:bCs/>
          <w:sz w:val="24"/>
          <w:szCs w:val="24"/>
        </w:rPr>
        <w:t>Список литературы</w:t>
      </w:r>
    </w:p>
    <w:p w14:paraId="3497C7E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Cs/>
          <w:sz w:val="24"/>
          <w:szCs w:val="24"/>
        </w:rPr>
      </w:pPr>
    </w:p>
    <w:p w14:paraId="3DDC7B80" w14:textId="77777777" w:rsidR="001B6C3B" w:rsidRPr="000403EE"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bCs/>
          <w:sz w:val="24"/>
          <w:szCs w:val="24"/>
        </w:rPr>
        <w:t xml:space="preserve">1. </w:t>
      </w:r>
      <w:r>
        <w:rPr>
          <w:rFonts w:ascii="Times New Roman" w:hAnsi="Times New Roman" w:cs="Times New Roman"/>
          <w:sz w:val="24"/>
          <w:szCs w:val="24"/>
        </w:rPr>
        <w:t>Бураков Н</w:t>
      </w:r>
      <w:r w:rsidRPr="000403EE">
        <w:rPr>
          <w:rFonts w:ascii="Times New Roman" w:hAnsi="Times New Roman" w:cs="Times New Roman"/>
          <w:sz w:val="24"/>
          <w:szCs w:val="24"/>
        </w:rPr>
        <w:t xml:space="preserve">.В. / Об ответственности поручителя / </w:t>
      </w:r>
      <w:hyperlink r:id="rId26" w:history="1">
        <w:r w:rsidRPr="000403EE">
          <w:rPr>
            <w:rStyle w:val="a9"/>
            <w:rFonts w:ascii="Times New Roman" w:hAnsi="Times New Roman" w:cs="Times New Roman"/>
            <w:color w:val="auto"/>
            <w:sz w:val="24"/>
            <w:szCs w:val="24"/>
          </w:rPr>
          <w:t>Российское право: Образование. Практика. Наука</w:t>
        </w:r>
      </w:hyperlink>
      <w:r w:rsidRPr="000403EE">
        <w:rPr>
          <w:rFonts w:ascii="Times New Roman" w:hAnsi="Times New Roman" w:cs="Times New Roman"/>
          <w:sz w:val="24"/>
          <w:szCs w:val="24"/>
        </w:rPr>
        <w:t>. - № 5. – 2016. С. 37-41.</w:t>
      </w:r>
    </w:p>
    <w:p w14:paraId="4E7AB923" w14:textId="77777777" w:rsidR="001B6C3B" w:rsidRPr="000403EE"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sidRPr="000403EE">
        <w:rPr>
          <w:rFonts w:ascii="Times New Roman" w:hAnsi="Times New Roman" w:cs="Times New Roman"/>
          <w:bCs/>
          <w:sz w:val="24"/>
          <w:szCs w:val="24"/>
        </w:rPr>
        <w:t xml:space="preserve">2.  </w:t>
      </w:r>
      <w:r w:rsidRPr="000403EE">
        <w:rPr>
          <w:rFonts w:ascii="Times New Roman" w:hAnsi="Times New Roman" w:cs="Times New Roman"/>
          <w:sz w:val="24"/>
          <w:szCs w:val="24"/>
        </w:rPr>
        <w:t>Гринь О.С. / Основные подходы к пониманию способов обеспечения исполнения обязательств / Вестник Университета имени  О.Е. Кутафина. - № 2 – 2016. С. 44-51.</w:t>
      </w:r>
    </w:p>
    <w:p w14:paraId="551D532C" w14:textId="77777777" w:rsidR="001B6C3B" w:rsidRPr="000403EE"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Cs/>
          <w:sz w:val="24"/>
          <w:szCs w:val="24"/>
        </w:rPr>
      </w:pPr>
      <w:r w:rsidRPr="000403EE">
        <w:rPr>
          <w:rFonts w:ascii="Times New Roman" w:hAnsi="Times New Roman" w:cs="Times New Roman"/>
          <w:bCs/>
          <w:sz w:val="24"/>
          <w:szCs w:val="24"/>
        </w:rPr>
        <w:t>3. Мичурина Е.А. / Некоторые вопросы применения поручительства при обеспечении исполнения кредитных обязательств / Вестник Саратовской государственной юридической академии. - № 3 (104) · 2015. С.107-111.</w:t>
      </w:r>
    </w:p>
    <w:p w14:paraId="610CA88F" w14:textId="77777777" w:rsidR="001B6C3B" w:rsidRPr="000403EE"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sidRPr="000403EE">
        <w:rPr>
          <w:rFonts w:ascii="Times New Roman" w:hAnsi="Times New Roman" w:cs="Times New Roman"/>
          <w:bCs/>
          <w:sz w:val="24"/>
          <w:szCs w:val="24"/>
        </w:rPr>
        <w:t xml:space="preserve">4.  Суворов Е.Д.  / </w:t>
      </w:r>
      <w:r w:rsidRPr="000403EE">
        <w:rPr>
          <w:rFonts w:ascii="Times New Roman" w:hAnsi="Times New Roman" w:cs="Times New Roman"/>
          <w:bCs/>
          <w:iCs/>
          <w:sz w:val="24"/>
          <w:szCs w:val="24"/>
        </w:rPr>
        <w:t>К вопросу о правовой природе поручительства на примере сравнения с солидарными обязательствами</w:t>
      </w:r>
      <w:r w:rsidRPr="000403EE">
        <w:rPr>
          <w:rFonts w:ascii="Times New Roman" w:hAnsi="Times New Roman" w:cs="Times New Roman"/>
          <w:b/>
          <w:bCs/>
          <w:sz w:val="24"/>
          <w:szCs w:val="24"/>
        </w:rPr>
        <w:t xml:space="preserve"> </w:t>
      </w:r>
      <w:r w:rsidRPr="000403EE">
        <w:rPr>
          <w:rFonts w:ascii="Times New Roman" w:hAnsi="Times New Roman" w:cs="Times New Roman"/>
          <w:bCs/>
          <w:sz w:val="24"/>
          <w:szCs w:val="24"/>
        </w:rPr>
        <w:t xml:space="preserve">/  </w:t>
      </w:r>
      <w:r w:rsidRPr="000403EE">
        <w:rPr>
          <w:rFonts w:ascii="Times New Roman" w:hAnsi="Times New Roman" w:cs="Times New Roman"/>
          <w:sz w:val="24"/>
          <w:szCs w:val="24"/>
        </w:rPr>
        <w:t>Вестник Университета имени  О.Е. Кутафина. - № 4– 2019. С.86-99.</w:t>
      </w:r>
    </w:p>
    <w:p w14:paraId="3DAB4D2B" w14:textId="77777777" w:rsidR="001B6C3B" w:rsidRPr="000403EE"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sidRPr="000403EE">
        <w:rPr>
          <w:rFonts w:ascii="Times New Roman" w:hAnsi="Times New Roman" w:cs="Times New Roman"/>
          <w:sz w:val="24"/>
          <w:szCs w:val="24"/>
        </w:rPr>
        <w:t xml:space="preserve">5. Титов Н.Д. / </w:t>
      </w:r>
      <w:r w:rsidRPr="000403EE">
        <w:rPr>
          <w:rFonts w:ascii="Times New Roman" w:hAnsi="Times New Roman" w:cs="Times New Roman"/>
          <w:bCs/>
          <w:iCs/>
          <w:sz w:val="24"/>
          <w:szCs w:val="24"/>
        </w:rPr>
        <w:t>Некоторые особенности правоотношения, порождаемого договором поручительства</w:t>
      </w:r>
      <w:r w:rsidRPr="000403EE">
        <w:rPr>
          <w:rFonts w:ascii="Times New Roman" w:hAnsi="Times New Roman" w:cs="Times New Roman"/>
          <w:b/>
          <w:bCs/>
          <w:sz w:val="24"/>
          <w:szCs w:val="24"/>
        </w:rPr>
        <w:t xml:space="preserve"> </w:t>
      </w:r>
      <w:r w:rsidRPr="000403EE">
        <w:rPr>
          <w:rFonts w:ascii="Times New Roman" w:hAnsi="Times New Roman" w:cs="Times New Roman"/>
          <w:bCs/>
          <w:sz w:val="24"/>
          <w:szCs w:val="24"/>
        </w:rPr>
        <w:t xml:space="preserve"> / </w:t>
      </w:r>
      <w:r w:rsidRPr="000403EE">
        <w:rPr>
          <w:rFonts w:ascii="Times New Roman" w:hAnsi="Times New Roman" w:cs="Times New Roman"/>
          <w:b/>
          <w:bCs/>
          <w:sz w:val="24"/>
          <w:szCs w:val="24"/>
        </w:rPr>
        <w:t xml:space="preserve"> </w:t>
      </w:r>
      <w:hyperlink r:id="rId27" w:history="1">
        <w:r w:rsidRPr="000403EE">
          <w:rPr>
            <w:rStyle w:val="a9"/>
            <w:rFonts w:ascii="Times New Roman" w:hAnsi="Times New Roman" w:cs="Times New Roman"/>
            <w:color w:val="auto"/>
            <w:sz w:val="24"/>
            <w:szCs w:val="24"/>
          </w:rPr>
          <w:t>Вестник Томского государственного университета.</w:t>
        </w:r>
      </w:hyperlink>
      <w:r w:rsidRPr="000403EE">
        <w:rPr>
          <w:rFonts w:ascii="Times New Roman" w:hAnsi="Times New Roman" w:cs="Times New Roman"/>
          <w:sz w:val="24"/>
          <w:szCs w:val="24"/>
        </w:rPr>
        <w:t xml:space="preserve"> - № 12. – 2018. С. 119-125.</w:t>
      </w:r>
    </w:p>
    <w:p w14:paraId="6FBC2E9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sectPr w:rsidR="001B6C3B">
          <w:footnotePr>
            <w:numRestart w:val="eachPage"/>
          </w:footnotePr>
          <w:pgSz w:w="11906" w:h="16838"/>
          <w:pgMar w:top="1134" w:right="1134" w:bottom="1134" w:left="1134" w:header="709" w:footer="709" w:gutter="0"/>
          <w:cols w:space="720"/>
        </w:sectPr>
      </w:pPr>
    </w:p>
    <w:p w14:paraId="2153DA4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right"/>
        <w:rPr>
          <w:rFonts w:ascii="Times New Roman" w:hAnsi="Times New Roman" w:cs="Times New Roman"/>
          <w:b/>
          <w:bCs/>
          <w:sz w:val="24"/>
          <w:szCs w:val="24"/>
        </w:rPr>
      </w:pPr>
      <w:r>
        <w:rPr>
          <w:rFonts w:ascii="Times New Roman" w:hAnsi="Times New Roman" w:cs="Times New Roman"/>
          <w:b/>
          <w:bCs/>
          <w:sz w:val="24"/>
          <w:szCs w:val="24"/>
        </w:rPr>
        <w:lastRenderedPageBreak/>
        <w:t>УДК 347.22.01</w:t>
      </w:r>
    </w:p>
    <w:p w14:paraId="28EAA39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80" w:line="240" w:lineRule="auto"/>
        <w:ind w:left="3969"/>
        <w:rPr>
          <w:rFonts w:ascii="Times New Roman" w:hAnsi="Times New Roman" w:cs="Times New Roman"/>
          <w:b/>
          <w:sz w:val="24"/>
          <w:szCs w:val="24"/>
        </w:rPr>
      </w:pPr>
      <w:r>
        <w:rPr>
          <w:rFonts w:ascii="Times New Roman" w:hAnsi="Times New Roman" w:cs="Times New Roman"/>
          <w:b/>
          <w:sz w:val="24"/>
          <w:szCs w:val="24"/>
        </w:rPr>
        <w:t>Мирзоян Анаит Андрониковна</w:t>
      </w:r>
    </w:p>
    <w:p w14:paraId="4C93067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80" w:line="240" w:lineRule="auto"/>
        <w:ind w:left="3969"/>
        <w:rPr>
          <w:rFonts w:ascii="Times New Roman" w:hAnsi="Times New Roman" w:cs="Times New Roman"/>
          <w:b/>
          <w:sz w:val="24"/>
          <w:szCs w:val="24"/>
        </w:rPr>
      </w:pPr>
      <w:r>
        <w:rPr>
          <w:rFonts w:ascii="Times New Roman" w:hAnsi="Times New Roman" w:cs="Times New Roman"/>
          <w:b/>
          <w:sz w:val="24"/>
          <w:szCs w:val="24"/>
          <w:lang w:val="en-US"/>
        </w:rPr>
        <w:t>Mirzoyan</w:t>
      </w:r>
      <w:r w:rsidRPr="00430C1C">
        <w:rPr>
          <w:rFonts w:ascii="Times New Roman" w:hAnsi="Times New Roman" w:cs="Times New Roman"/>
          <w:b/>
          <w:sz w:val="24"/>
          <w:szCs w:val="24"/>
        </w:rPr>
        <w:t xml:space="preserve"> </w:t>
      </w:r>
      <w:r>
        <w:rPr>
          <w:rFonts w:ascii="Times New Roman" w:hAnsi="Times New Roman" w:cs="Times New Roman"/>
          <w:b/>
          <w:sz w:val="24"/>
          <w:szCs w:val="24"/>
          <w:lang w:val="en-US"/>
        </w:rPr>
        <w:t>Anait</w:t>
      </w:r>
      <w:r w:rsidRPr="00430C1C">
        <w:rPr>
          <w:rFonts w:ascii="Times New Roman" w:hAnsi="Times New Roman" w:cs="Times New Roman"/>
          <w:b/>
          <w:sz w:val="24"/>
          <w:szCs w:val="24"/>
        </w:rPr>
        <w:t xml:space="preserve"> </w:t>
      </w:r>
      <w:r>
        <w:rPr>
          <w:rFonts w:ascii="Times New Roman" w:hAnsi="Times New Roman" w:cs="Times New Roman"/>
          <w:b/>
          <w:sz w:val="24"/>
          <w:szCs w:val="24"/>
          <w:lang w:val="en-US"/>
        </w:rPr>
        <w:t>Andronikovna</w:t>
      </w:r>
    </w:p>
    <w:p w14:paraId="3F6AD91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80" w:line="240" w:lineRule="auto"/>
        <w:ind w:left="3969"/>
        <w:rPr>
          <w:rFonts w:ascii="Times New Roman" w:hAnsi="Times New Roman" w:cs="Times New Roman"/>
          <w:sz w:val="24"/>
          <w:szCs w:val="24"/>
        </w:rPr>
      </w:pPr>
      <w:r>
        <w:rPr>
          <w:rFonts w:ascii="Times New Roman" w:hAnsi="Times New Roman" w:cs="Times New Roman"/>
          <w:sz w:val="24"/>
          <w:szCs w:val="24"/>
        </w:rPr>
        <w:t xml:space="preserve">бакалавр Федеральное государственное бюджетное </w:t>
      </w:r>
    </w:p>
    <w:p w14:paraId="01164DF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80" w:line="240" w:lineRule="auto"/>
        <w:ind w:left="3969"/>
        <w:rPr>
          <w:rFonts w:ascii="Times New Roman" w:hAnsi="Times New Roman" w:cs="Times New Roman"/>
          <w:sz w:val="24"/>
          <w:szCs w:val="24"/>
        </w:rPr>
      </w:pPr>
      <w:r>
        <w:rPr>
          <w:rFonts w:ascii="Times New Roman" w:hAnsi="Times New Roman" w:cs="Times New Roman"/>
          <w:sz w:val="24"/>
          <w:szCs w:val="24"/>
        </w:rPr>
        <w:t xml:space="preserve">образовательное учреждение высшего образования </w:t>
      </w:r>
    </w:p>
    <w:p w14:paraId="4FBA196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80" w:line="240" w:lineRule="auto"/>
        <w:ind w:left="3969"/>
        <w:rPr>
          <w:rFonts w:ascii="Times New Roman" w:hAnsi="Times New Roman" w:cs="Times New Roman"/>
          <w:sz w:val="24"/>
          <w:szCs w:val="24"/>
        </w:rPr>
      </w:pPr>
      <w:r>
        <w:rPr>
          <w:rFonts w:ascii="Times New Roman" w:hAnsi="Times New Roman" w:cs="Times New Roman"/>
          <w:sz w:val="24"/>
          <w:szCs w:val="24"/>
        </w:rPr>
        <w:t xml:space="preserve">«Кубанский государственный аграрный университет </w:t>
      </w:r>
    </w:p>
    <w:p w14:paraId="316D7D5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80" w:line="240" w:lineRule="auto"/>
        <w:ind w:left="3969"/>
        <w:rPr>
          <w:rFonts w:ascii="Times New Roman" w:hAnsi="Times New Roman" w:cs="Times New Roman"/>
          <w:sz w:val="24"/>
          <w:szCs w:val="24"/>
          <w:lang w:val="en-US"/>
        </w:rPr>
      </w:pPr>
      <w:r>
        <w:rPr>
          <w:rFonts w:ascii="Times New Roman" w:hAnsi="Times New Roman" w:cs="Times New Roman"/>
          <w:sz w:val="24"/>
          <w:szCs w:val="24"/>
        </w:rPr>
        <w:t>имени</w:t>
      </w:r>
      <w:r>
        <w:rPr>
          <w:rFonts w:ascii="Times New Roman" w:hAnsi="Times New Roman" w:cs="Times New Roman"/>
          <w:sz w:val="24"/>
          <w:szCs w:val="24"/>
          <w:lang w:val="en-US"/>
        </w:rPr>
        <w:t xml:space="preserve"> </w:t>
      </w:r>
      <w:r>
        <w:rPr>
          <w:rFonts w:ascii="Times New Roman" w:hAnsi="Times New Roman" w:cs="Times New Roman"/>
          <w:sz w:val="24"/>
          <w:szCs w:val="24"/>
        </w:rPr>
        <w:t>И</w:t>
      </w:r>
      <w:r>
        <w:rPr>
          <w:rFonts w:ascii="Times New Roman" w:hAnsi="Times New Roman" w:cs="Times New Roman"/>
          <w:sz w:val="24"/>
          <w:szCs w:val="24"/>
          <w:lang w:val="en-US"/>
        </w:rPr>
        <w:t>.</w:t>
      </w:r>
      <w:r>
        <w:rPr>
          <w:rFonts w:ascii="Times New Roman" w:hAnsi="Times New Roman" w:cs="Times New Roman"/>
          <w:sz w:val="24"/>
          <w:szCs w:val="24"/>
        </w:rPr>
        <w:t>Т</w:t>
      </w:r>
      <w:r>
        <w:rPr>
          <w:rFonts w:ascii="Times New Roman" w:hAnsi="Times New Roman" w:cs="Times New Roman"/>
          <w:sz w:val="24"/>
          <w:szCs w:val="24"/>
          <w:lang w:val="en-US"/>
        </w:rPr>
        <w:t xml:space="preserve">. </w:t>
      </w:r>
      <w:r>
        <w:rPr>
          <w:rFonts w:ascii="Times New Roman" w:hAnsi="Times New Roman" w:cs="Times New Roman"/>
          <w:sz w:val="24"/>
          <w:szCs w:val="24"/>
        </w:rPr>
        <w:t>Трубилина</w:t>
      </w:r>
      <w:r>
        <w:rPr>
          <w:rFonts w:ascii="Times New Roman" w:hAnsi="Times New Roman" w:cs="Times New Roman"/>
          <w:sz w:val="24"/>
          <w:szCs w:val="24"/>
          <w:lang w:val="en-US"/>
        </w:rPr>
        <w:t xml:space="preserve">» </w:t>
      </w:r>
    </w:p>
    <w:p w14:paraId="506ED17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80" w:line="240" w:lineRule="auto"/>
        <w:ind w:left="3969"/>
        <w:rPr>
          <w:rFonts w:ascii="Times New Roman" w:hAnsi="Times New Roman" w:cs="Times New Roman"/>
          <w:sz w:val="24"/>
          <w:szCs w:val="24"/>
          <w:lang w:val="en-US"/>
        </w:rPr>
      </w:pPr>
      <w:r>
        <w:rPr>
          <w:rFonts w:ascii="Times New Roman" w:hAnsi="Times New Roman" w:cs="Times New Roman"/>
          <w:sz w:val="24"/>
          <w:szCs w:val="24"/>
          <w:lang w:val="en-US"/>
        </w:rPr>
        <w:t xml:space="preserve">Federal State Budgetary Educational Institution of Higher </w:t>
      </w:r>
    </w:p>
    <w:p w14:paraId="4665BD8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80" w:line="240" w:lineRule="auto"/>
        <w:ind w:left="3969"/>
        <w:rPr>
          <w:rFonts w:ascii="Times New Roman" w:hAnsi="Times New Roman" w:cs="Times New Roman"/>
          <w:sz w:val="24"/>
          <w:szCs w:val="24"/>
          <w:lang w:val="en-US"/>
        </w:rPr>
      </w:pPr>
      <w:r>
        <w:rPr>
          <w:rFonts w:ascii="Times New Roman" w:hAnsi="Times New Roman" w:cs="Times New Roman"/>
          <w:sz w:val="24"/>
          <w:szCs w:val="24"/>
          <w:lang w:val="en-US"/>
        </w:rPr>
        <w:t xml:space="preserve">Education </w:t>
      </w:r>
    </w:p>
    <w:p w14:paraId="4824F04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80" w:line="240" w:lineRule="auto"/>
        <w:ind w:left="3969"/>
        <w:rPr>
          <w:rFonts w:ascii="Times New Roman" w:hAnsi="Times New Roman" w:cs="Times New Roman"/>
          <w:sz w:val="24"/>
          <w:szCs w:val="24"/>
          <w:lang w:val="en-US"/>
        </w:rPr>
      </w:pPr>
      <w:r>
        <w:rPr>
          <w:rFonts w:ascii="Times New Roman" w:hAnsi="Times New Roman" w:cs="Times New Roman"/>
          <w:sz w:val="24"/>
          <w:szCs w:val="24"/>
          <w:lang w:val="en-US"/>
        </w:rPr>
        <w:t xml:space="preserve">“Kuban State Agrarian University named after I.T. </w:t>
      </w:r>
    </w:p>
    <w:p w14:paraId="4C23E1B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80" w:line="240" w:lineRule="auto"/>
        <w:ind w:left="3969"/>
        <w:rPr>
          <w:rFonts w:ascii="Times New Roman" w:hAnsi="Times New Roman" w:cs="Times New Roman"/>
          <w:sz w:val="24"/>
          <w:szCs w:val="24"/>
          <w:lang w:val="en-US"/>
        </w:rPr>
      </w:pPr>
      <w:r>
        <w:rPr>
          <w:rFonts w:ascii="Times New Roman" w:hAnsi="Times New Roman" w:cs="Times New Roman"/>
          <w:sz w:val="24"/>
          <w:szCs w:val="24"/>
          <w:lang w:val="en-US"/>
        </w:rPr>
        <w:t xml:space="preserve">Trubilin” </w:t>
      </w:r>
    </w:p>
    <w:p w14:paraId="1797DDB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80" w:line="240" w:lineRule="auto"/>
        <w:ind w:left="3969"/>
        <w:rPr>
          <w:rFonts w:ascii="Times New Roman" w:hAnsi="Times New Roman" w:cs="Times New Roman"/>
          <w:sz w:val="24"/>
          <w:szCs w:val="24"/>
          <w:lang w:val="en-US"/>
        </w:rPr>
      </w:pPr>
      <w:r>
        <w:rPr>
          <w:rFonts w:ascii="Times New Roman" w:hAnsi="Times New Roman" w:cs="Times New Roman"/>
          <w:sz w:val="24"/>
          <w:szCs w:val="24"/>
          <w:lang w:val="en-US"/>
        </w:rPr>
        <w:t xml:space="preserve">Российская Федерация, г. Краснодар </w:t>
      </w:r>
    </w:p>
    <w:p w14:paraId="3822597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80" w:line="240" w:lineRule="auto"/>
        <w:ind w:left="3969"/>
        <w:rPr>
          <w:rFonts w:ascii="Times New Roman" w:hAnsi="Times New Roman" w:cs="Times New Roman"/>
          <w:sz w:val="24"/>
          <w:szCs w:val="24"/>
          <w:lang w:val="en-US"/>
        </w:rPr>
      </w:pPr>
      <w:r>
        <w:rPr>
          <w:rFonts w:ascii="Times New Roman" w:hAnsi="Times New Roman" w:cs="Times New Roman"/>
          <w:sz w:val="24"/>
          <w:szCs w:val="24"/>
          <w:lang w:val="en-US"/>
        </w:rPr>
        <w:t xml:space="preserve">Russian Federation, Krasnodar </w:t>
      </w:r>
    </w:p>
    <w:p w14:paraId="18CF718B" w14:textId="77777777" w:rsidR="001B6C3B" w:rsidRDefault="00EE7838"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80" w:line="240" w:lineRule="auto"/>
        <w:ind w:left="3969"/>
        <w:rPr>
          <w:rFonts w:ascii="Times New Roman" w:hAnsi="Times New Roman" w:cs="Times New Roman"/>
          <w:sz w:val="24"/>
          <w:szCs w:val="24"/>
        </w:rPr>
      </w:pPr>
      <w:hyperlink r:id="rId28" w:history="1">
        <w:r w:rsidR="001B6C3B">
          <w:rPr>
            <w:rStyle w:val="a9"/>
            <w:rFonts w:ascii="Times New Roman" w:hAnsi="Times New Roman" w:cs="Times New Roman"/>
            <w:sz w:val="24"/>
            <w:szCs w:val="24"/>
            <w:lang w:val="en-US"/>
          </w:rPr>
          <w:t>anait</w:t>
        </w:r>
        <w:r w:rsidR="001B6C3B">
          <w:rPr>
            <w:rStyle w:val="a9"/>
            <w:rFonts w:ascii="Times New Roman" w:hAnsi="Times New Roman" w:cs="Times New Roman"/>
            <w:sz w:val="24"/>
            <w:szCs w:val="24"/>
          </w:rPr>
          <w:t>.</w:t>
        </w:r>
        <w:r w:rsidR="001B6C3B">
          <w:rPr>
            <w:rStyle w:val="a9"/>
            <w:rFonts w:ascii="Times New Roman" w:hAnsi="Times New Roman" w:cs="Times New Roman"/>
            <w:sz w:val="24"/>
            <w:szCs w:val="24"/>
            <w:lang w:val="en-US"/>
          </w:rPr>
          <w:t>mir</w:t>
        </w:r>
        <w:r w:rsidR="001B6C3B">
          <w:rPr>
            <w:rStyle w:val="a9"/>
            <w:rFonts w:ascii="Times New Roman" w:hAnsi="Times New Roman" w:cs="Times New Roman"/>
            <w:sz w:val="24"/>
            <w:szCs w:val="24"/>
          </w:rPr>
          <w:t>@</w:t>
        </w:r>
        <w:r w:rsidR="001B6C3B">
          <w:rPr>
            <w:rStyle w:val="a9"/>
            <w:rFonts w:ascii="Times New Roman" w:hAnsi="Times New Roman" w:cs="Times New Roman"/>
            <w:sz w:val="24"/>
            <w:szCs w:val="24"/>
            <w:lang w:val="en-US"/>
          </w:rPr>
          <w:t>mail</w:t>
        </w:r>
        <w:r w:rsidR="001B6C3B">
          <w:rPr>
            <w:rStyle w:val="a9"/>
            <w:rFonts w:ascii="Times New Roman" w:hAnsi="Times New Roman" w:cs="Times New Roman"/>
            <w:sz w:val="24"/>
            <w:szCs w:val="24"/>
          </w:rPr>
          <w:t>.</w:t>
        </w:r>
        <w:r w:rsidR="001B6C3B">
          <w:rPr>
            <w:rStyle w:val="a9"/>
            <w:rFonts w:ascii="Times New Roman" w:hAnsi="Times New Roman" w:cs="Times New Roman"/>
            <w:sz w:val="24"/>
            <w:szCs w:val="24"/>
            <w:lang w:val="en-US"/>
          </w:rPr>
          <w:t>ru</w:t>
        </w:r>
      </w:hyperlink>
    </w:p>
    <w:p w14:paraId="69439B4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80" w:line="240" w:lineRule="auto"/>
        <w:ind w:left="3969"/>
        <w:rPr>
          <w:rFonts w:ascii="Times New Roman" w:hAnsi="Times New Roman" w:cs="Times New Roman"/>
          <w:sz w:val="24"/>
          <w:szCs w:val="24"/>
        </w:rPr>
      </w:pPr>
      <w:r>
        <w:rPr>
          <w:rFonts w:ascii="Times New Roman" w:hAnsi="Times New Roman" w:cs="Times New Roman"/>
          <w:sz w:val="24"/>
          <w:szCs w:val="24"/>
        </w:rPr>
        <w:t>Камышанский Владимир Павлович</w:t>
      </w:r>
    </w:p>
    <w:p w14:paraId="61A85B4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80" w:line="240" w:lineRule="auto"/>
        <w:ind w:left="3969"/>
        <w:rPr>
          <w:rFonts w:ascii="Times New Roman" w:hAnsi="Times New Roman" w:cs="Times New Roman"/>
          <w:sz w:val="24"/>
          <w:szCs w:val="24"/>
        </w:rPr>
      </w:pPr>
      <w:r>
        <w:rPr>
          <w:rFonts w:ascii="Times New Roman" w:hAnsi="Times New Roman" w:cs="Times New Roman"/>
          <w:sz w:val="24"/>
          <w:szCs w:val="24"/>
        </w:rPr>
        <w:t>доктор юридических наук, профессор</w:t>
      </w:r>
    </w:p>
    <w:p w14:paraId="12C2183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center"/>
        <w:rPr>
          <w:rFonts w:ascii="Times New Roman" w:hAnsi="Times New Roman" w:cs="Times New Roman"/>
          <w:b/>
          <w:bCs/>
          <w:sz w:val="24"/>
          <w:szCs w:val="24"/>
        </w:rPr>
      </w:pPr>
    </w:p>
    <w:p w14:paraId="3B26FD7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center"/>
        <w:rPr>
          <w:rFonts w:ascii="Times New Roman" w:hAnsi="Times New Roman" w:cs="Times New Roman"/>
          <w:b/>
          <w:bCs/>
          <w:sz w:val="24"/>
          <w:szCs w:val="24"/>
        </w:rPr>
      </w:pPr>
      <w:r>
        <w:rPr>
          <w:rFonts w:ascii="Times New Roman" w:hAnsi="Times New Roman" w:cs="Times New Roman"/>
          <w:b/>
          <w:bCs/>
          <w:sz w:val="24"/>
          <w:szCs w:val="24"/>
        </w:rPr>
        <w:t>ОСНОВАНИЯ ВОЗНИКНОВЕНИЯ ПРАВА СОБСТВЕННОСТИ НА САМОВОЛЬНУЮ ПОСТРОЙКУ</w:t>
      </w:r>
    </w:p>
    <w:p w14:paraId="61D7C7F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center"/>
        <w:rPr>
          <w:rFonts w:ascii="Times New Roman" w:hAnsi="Times New Roman" w:cs="Times New Roman"/>
          <w:b/>
          <w:bCs/>
          <w:sz w:val="24"/>
          <w:szCs w:val="24"/>
          <w:lang w:val="en-US"/>
        </w:rPr>
      </w:pPr>
      <w:r>
        <w:rPr>
          <w:rFonts w:ascii="Times New Roman" w:hAnsi="Times New Roman" w:cs="Times New Roman"/>
          <w:b/>
          <w:bCs/>
          <w:sz w:val="24"/>
          <w:szCs w:val="24"/>
          <w:lang w:val="en-US"/>
        </w:rPr>
        <w:t>GROUNDS FOR THE EMERGENCE OF OWNERSHIP RIGHTS TO UNAUTHORIZED CONSTRUCTION</w:t>
      </w:r>
    </w:p>
    <w:p w14:paraId="2E1FAFA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center"/>
        <w:rPr>
          <w:rFonts w:ascii="Times New Roman" w:hAnsi="Times New Roman" w:cs="Times New Roman"/>
          <w:b/>
          <w:bCs/>
          <w:sz w:val="24"/>
          <w:szCs w:val="24"/>
          <w:lang w:val="en-US"/>
        </w:rPr>
      </w:pPr>
    </w:p>
    <w:p w14:paraId="10A2F18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Аннотация: в статье рассмотрена самовольная постройка, как один из способов приобретения права собственности, а также динамика развития данного института. Изучены научные взгляды на юридическую природу самовольного строения. Выявлены проблемы правового регулирования и тенденции развития объектов незаконного строительства. В статье предлагаются пути решения выявленных проблем. Произведен анализ правоприменительной судебной практики по рассматриваемой теме.  </w:t>
      </w:r>
    </w:p>
    <w:p w14:paraId="5618FA5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Ключевые слова: право собственности, снос, самовольная постройка, недвижимое имущество, сооружение, здание, органы местного самоуправления, незаконное строение, признание права собственности. </w:t>
      </w:r>
    </w:p>
    <w:p w14:paraId="1749F40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rFonts w:ascii="Times New Roman" w:hAnsi="Times New Roman" w:cs="Times New Roman"/>
          <w:sz w:val="24"/>
          <w:szCs w:val="24"/>
          <w:lang w:val="en-US"/>
        </w:rPr>
      </w:pPr>
      <w:r>
        <w:rPr>
          <w:rFonts w:ascii="Times New Roman" w:hAnsi="Times New Roman" w:cs="Times New Roman"/>
          <w:sz w:val="24"/>
          <w:szCs w:val="24"/>
          <w:lang w:val="en-US"/>
        </w:rPr>
        <w:t>Abstract: the article considers unauthorized construction as one of the ways to acquire property rights, as well as the dynamics of the development of this institution. Scientific views on the legal nature of unauthorized structures are studied. The problems of legal regulation and trends in the development of illegal construction objects are identified. The article suggests ways to solve the identified problems. The analysis of law enforcement judicial practice on the subject is made.</w:t>
      </w:r>
    </w:p>
    <w:p w14:paraId="0B24023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rFonts w:ascii="Times New Roman" w:hAnsi="Times New Roman" w:cs="Times New Roman"/>
          <w:sz w:val="24"/>
          <w:szCs w:val="24"/>
          <w:lang w:val="en-US"/>
        </w:rPr>
      </w:pPr>
      <w:r>
        <w:rPr>
          <w:rFonts w:ascii="Times New Roman" w:hAnsi="Times New Roman" w:cs="Times New Roman"/>
          <w:sz w:val="24"/>
          <w:szCs w:val="24"/>
          <w:lang w:val="en-US"/>
        </w:rPr>
        <w:t>Keywords: property rights, demolition, unauthorized construction, real estate, construction, building, local authorities, illegal structure, recognition of property rights.</w:t>
      </w:r>
    </w:p>
    <w:p w14:paraId="7F74F47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Институт самовольной постройки берет свои истоки со времен Римского права. Изучая сущность самовольного строения, римские юристы пришли к выводу, что правовая природа самовольной постройки и ее результатов можно разделить, во-первых, как очевидное нарушение прав собственника земельного участка, во-вторых, как основания для возникновения права собственности на такую постройку. </w:t>
      </w:r>
    </w:p>
    <w:p w14:paraId="44D3F4F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Согласно Институциям Гая, строение, сооруженное кем-либо в границах земельного участка собственника, автоматически будет считаться собственностью владельца такого земельного участка - simper superficiem solo cedere. Этот принцип устанавливал то, что любое без исключения имущество, которое располагается на поверхности земли, неотъемлемо связано с земельным участком, то есть закрепилось право следования. Именно это позволило считать самовольную постройку одним из оснований возникновения права собственности</w:t>
      </w:r>
      <w:r>
        <w:rPr>
          <w:rStyle w:val="a7"/>
          <w:rFonts w:ascii="Times New Roman" w:hAnsi="Times New Roman" w:cs="Times New Roman"/>
          <w:sz w:val="24"/>
          <w:szCs w:val="24"/>
        </w:rPr>
        <w:footnoteReference w:id="228"/>
      </w:r>
      <w:r>
        <w:rPr>
          <w:rFonts w:ascii="Times New Roman" w:hAnsi="Times New Roman" w:cs="Times New Roman"/>
          <w:sz w:val="24"/>
          <w:szCs w:val="24"/>
        </w:rPr>
        <w:t>.</w:t>
      </w:r>
    </w:p>
    <w:p w14:paraId="126A73B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Создание самовольной постройки порождает конкретные правовые последствия, которые позволяют относиться к ней, как к особому объекту гражданского права. Важно отметить, что незаконное строительство нельзя отождествлять с совокупностью строительных материалов, из которых оно сооружено. В законодательных положениях, в силу которых возникает обязанность по сносу спорного объекта, действует запрет на вовлечение его в гражданский оборот.  Как следствие, застройщику предоставляется возможность обратиться в суд с иском о признании права собственности на самовольную постройку. Незаконное сооружение не попадает в гражданский оборот, однако оно способно стать объектом владения. Это устанавливает важное юридическое значение и позволяет рассматривать такую постройку, как объект будущего субъективного права собственности.</w:t>
      </w:r>
    </w:p>
    <w:p w14:paraId="18E6EDB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Институт самовольной постройки за долгую историю своего существования ни раз поддавался многообразной гражданско-правовой оценке. Дореволюционное законодательство во многом трактовало такую постройку в точности, как в римском праве. </w:t>
      </w:r>
    </w:p>
    <w:p w14:paraId="6E3AF12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В советский период развитие права продемонстрировало полное отрицание классического римского принципа «построенное на поверхности следует за почвой» и постепенно стало конкретизироваться нововведениями. Так, например, лица, которые возвели самовольную постройку, были обязаны по требованию местных исполнительных органов власти непременно прекратить строительство и привести в порядок земельный участок. Если же этого не происходило, то отдел коммунального хозяйства по распоряжению органов власти на законных основаниях производил снос самовольной постройки</w:t>
      </w:r>
      <w:r>
        <w:rPr>
          <w:rStyle w:val="a7"/>
          <w:rFonts w:ascii="Times New Roman" w:hAnsi="Times New Roman" w:cs="Times New Roman"/>
          <w:sz w:val="24"/>
          <w:szCs w:val="24"/>
        </w:rPr>
        <w:footnoteReference w:id="229"/>
      </w:r>
      <w:r>
        <w:rPr>
          <w:rFonts w:ascii="Times New Roman" w:hAnsi="Times New Roman" w:cs="Times New Roman"/>
          <w:sz w:val="24"/>
          <w:szCs w:val="24"/>
        </w:rPr>
        <w:t>.  Подобные нормы характеризовали самовольное строительство как правонарушение, причем в числе мер, в основном, предусматривались меры уголовного-правого характера, реже – административного.</w:t>
      </w:r>
    </w:p>
    <w:p w14:paraId="664162C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Появление контроля и регламентации со стороны органов государственной власти повлияло на дальнейшее формирование гражданско-правовых норм о самовольной постройке. Так, данный институт стал защищать частные и публичные интересы. С одной стороны, права собственника земельного участка, а с другой широкие полномочия в этом вопросе у органов власти. Права последних же с каждой новой редакцией статьи о самовольном строении увеличиваются. </w:t>
      </w:r>
    </w:p>
    <w:p w14:paraId="7577DD7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rFonts w:ascii="Times New Roman" w:eastAsia="Times New Roman" w:hAnsi="Times New Roman" w:cs="Times New Roman"/>
          <w:sz w:val="24"/>
          <w:szCs w:val="24"/>
          <w:lang w:eastAsia="ru-RU"/>
        </w:rPr>
      </w:pPr>
      <w:r>
        <w:rPr>
          <w:rFonts w:ascii="Times New Roman" w:hAnsi="Times New Roman" w:cs="Times New Roman"/>
          <w:sz w:val="24"/>
          <w:szCs w:val="24"/>
        </w:rPr>
        <w:t xml:space="preserve">Для большего понимая динамики развития такого института необходимо рассмотреть современное гражданское законодательство, а именно статью 222 ГК РФ. В первых редакциях самовольной постройкой считались </w:t>
      </w:r>
      <w:r>
        <w:rPr>
          <w:rFonts w:ascii="Times New Roman" w:eastAsia="Times New Roman" w:hAnsi="Times New Roman" w:cs="Times New Roman"/>
          <w:sz w:val="24"/>
          <w:szCs w:val="24"/>
          <w:lang w:eastAsia="ru-RU"/>
        </w:rPr>
        <w:t xml:space="preserve">строение, жилой дом, сооружение или же иное недвижимое имущество, возведенное на земельном участке, который не предназначен для подобных целей, так же с нарушением строительных и градостроительных правил и норм. В статье не упоминалось об органах, имеющих права принимать решения о сносе незаконного строения. Позднее было исключено положение о возможности признания права собственности на такую постройку за лицами, возведшие строение на земельном участке, который не принадлежал им. </w:t>
      </w:r>
    </w:p>
    <w:p w14:paraId="1278D2C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 xml:space="preserve"> Постепенно норма стала пополнятся поправками, в частности, появление в статье 222 ГК РФ пункта 4. Согласно этому пункту, органы власти на местах наделяются правом принимать решения о сносе незаконных построек. Из этого можно сделать вывод, что вопрос о сносе может быть решен во внесудебном порядке. </w:t>
      </w:r>
    </w:p>
    <w:p w14:paraId="403B42D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Актуальность данной темы является в том, что в нынешнее время крайне важным вопросом является легализация самовольных построек и признания за застройщиком права собственности. Причиной является произвол со стороны органов местного самоуправления, бюрократические операции чиновников на местах. Всё потому, что для получения разрешения на строительство недвижимости необходимо обращаться к органам местной власти — это требует большого количества времени и немалых материальных затрат.</w:t>
      </w:r>
      <w:r>
        <w:rPr>
          <w:rFonts w:ascii="Times New Roman" w:hAnsi="Times New Roman" w:cs="Times New Roman"/>
        </w:rPr>
        <w:t xml:space="preserve"> </w:t>
      </w:r>
      <w:r>
        <w:rPr>
          <w:rFonts w:ascii="Times New Roman" w:hAnsi="Times New Roman" w:cs="Times New Roman"/>
          <w:sz w:val="24"/>
          <w:szCs w:val="24"/>
        </w:rPr>
        <w:t xml:space="preserve">Целостное видение дискуссионных моментов в правовом регулировании объектов незаконного строительства с точки зрения их теоретического анализа, а также исходя из определенных концептуальных положений доктрины гражданского права, призвано признать существующие практические проблемы, возникающие в области самовольного строительства. </w:t>
      </w:r>
    </w:p>
    <w:p w14:paraId="3C80C39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Так, нередкой практикой является ситуация, когда местная администрация сдает в аренду земельный участок на срочный период для застройки.  Но по истечении срока договора органы местной власти не желают продлевать аренду по разным причинам, однако, самой частой является то, что объект строительства обладает признаками самовольной постройки. Органы архитектурно-строительного надзора находят такие признаки и, как показывает практика, они всегда незначительны. Например, отсутствует правоустанавливающий документ у застройщика. Согласно пункту 4 статьи 222 ГК РФ, подобный юридический факт служит весомой причиной для местной власти, чтобы вынести решение о сносе строения. Несмотря на то, что именно по причине халатности органов местного самоуправления застройщик не мог получить нужные документы. </w:t>
      </w:r>
    </w:p>
    <w:p w14:paraId="32DC779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Бесспорно, застройщик зависим от местной администрации, например, в утверждении плана застройки, разрешения на нее и акта ввода объекта в эксплуатацию. Не всегда получается вовремя получить все необходимые документы</w:t>
      </w:r>
      <w:r>
        <w:rPr>
          <w:rStyle w:val="a7"/>
          <w:rFonts w:ascii="Times New Roman" w:hAnsi="Times New Roman" w:cs="Times New Roman"/>
          <w:sz w:val="24"/>
          <w:szCs w:val="24"/>
        </w:rPr>
        <w:footnoteReference w:id="230"/>
      </w:r>
      <w:r>
        <w:rPr>
          <w:rFonts w:ascii="Times New Roman" w:hAnsi="Times New Roman" w:cs="Times New Roman"/>
          <w:sz w:val="24"/>
          <w:szCs w:val="24"/>
        </w:rPr>
        <w:t xml:space="preserve">. </w:t>
      </w:r>
    </w:p>
    <w:p w14:paraId="4EE569E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Так, согласна пункту 3 статьи 222 ГК РФ застройщик имеет основания на возникновения права собственности на подобные строения, однако в судебном порядке им же должна быть доказана собственная невиновность. Он обязан предоставить все необходимые документы. Во-первых, подтверждение того, что на данном земельном участке допускается возведения такого объекта, во-вторых, свидетельство о том, что в день обращения в суд объект строительства соответствует всем требованиям, в-третьих, доказательства того, что при строительстве недвижимости не были нарушены права и защищаемые законом интересы общества, к тому же объект спора не создает угрозы здоровью и жизни иных лиц.  </w:t>
      </w:r>
    </w:p>
    <w:p w14:paraId="521C684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К примеру, арбитражным судом Красноярского края было вынесено решение по иску департамента муниципального имущества и земельных отношений администрации города Красноярск к индивидуальному предпринимателю Баронову М.А. по сносу пристройки на арендованном земельном участке, принадлежащего муниципальному образованию. При рассмотрении дела было выяснено, что спорное здание частично расположено на земельном участке, в отношении которого в Едином государственном реестре недвижимости сведения о зарегистрированных правах отсутствуют, хотя возведенная антресоль не изменила внешних границ здания.  </w:t>
      </w:r>
    </w:p>
    <w:p w14:paraId="26DA6AA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Ответчик, имея все основания, предоставил заключения краевого Агентства инвентаризации, кадастра, картографии и мониторинга здания о том, что несущая способность строительных конструкций и грунтов оснований сомнения не вызывают, объект не создает </w:t>
      </w:r>
      <w:r>
        <w:rPr>
          <w:rFonts w:ascii="Times New Roman" w:hAnsi="Times New Roman" w:cs="Times New Roman"/>
          <w:sz w:val="24"/>
          <w:szCs w:val="24"/>
        </w:rPr>
        <w:lastRenderedPageBreak/>
        <w:t>угроз для жизни и здоровья других членов общества. Так же, Барановым были предоставлены сведения, что администрация города несвоевременно выдавала ему необходимые разрешения. Однако, суд решил, что истец, действуя в публичных интересах, предоставил неоспоримые доказательства и иск был удовлетворен. Самовольная постройка подлежала сносу.</w:t>
      </w:r>
    </w:p>
    <w:p w14:paraId="243B4FB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Нам видеться необходимым уменьшить контроль органов местного самоуправления в вопросе о самовольной постройки. Для этого потребуется изменить ряд норм статьи 222 ГК РФ. По мнению Гумилевской О.В., конкретизация норм права о самовольной постройке позволит найти правильный баланс между частными интересами отдельных субъектов гражданского права и публичными интересами общества</w:t>
      </w:r>
      <w:r>
        <w:rPr>
          <w:rStyle w:val="a7"/>
          <w:rFonts w:ascii="Times New Roman" w:hAnsi="Times New Roman" w:cs="Times New Roman"/>
          <w:sz w:val="24"/>
          <w:szCs w:val="24"/>
        </w:rPr>
        <w:footnoteReference w:id="231"/>
      </w:r>
      <w:r>
        <w:rPr>
          <w:rFonts w:ascii="Times New Roman" w:hAnsi="Times New Roman" w:cs="Times New Roman"/>
          <w:sz w:val="24"/>
          <w:szCs w:val="24"/>
        </w:rPr>
        <w:t>. Так, например, внести нормативную ясность в субинститут административного сноса «самостроя», с целью добиться единообразного толкования и правоприменения п. 4 ст. 222 ГК РФ. Решение о сносе незаконного объекта недвижимости должен выносить суд, а до этого момента, по мнению Грызыхиной Е.А., должна сохраняться презумпция собственника и законности государственной регистрации</w:t>
      </w:r>
      <w:r>
        <w:rPr>
          <w:rStyle w:val="a7"/>
          <w:rFonts w:ascii="Times New Roman" w:hAnsi="Times New Roman" w:cs="Times New Roman"/>
          <w:sz w:val="24"/>
          <w:szCs w:val="24"/>
        </w:rPr>
        <w:footnoteReference w:id="232"/>
      </w:r>
      <w:r>
        <w:rPr>
          <w:rFonts w:ascii="Times New Roman" w:hAnsi="Times New Roman" w:cs="Times New Roman"/>
          <w:sz w:val="24"/>
          <w:szCs w:val="24"/>
        </w:rPr>
        <w:t>. Так же важно снять с застройщика презумпцию виновности. В первую очередь, администрация сельского или городского поселения должна в судебном порядке доказывать то, что предоставляла застройщику весь пакет легитимных правоустанавливающих документов вовремя</w:t>
      </w:r>
      <w:r>
        <w:rPr>
          <w:rStyle w:val="a7"/>
          <w:rFonts w:ascii="Times New Roman" w:hAnsi="Times New Roman" w:cs="Times New Roman"/>
          <w:sz w:val="24"/>
          <w:szCs w:val="24"/>
        </w:rPr>
        <w:footnoteReference w:id="233"/>
      </w:r>
      <w:r>
        <w:rPr>
          <w:rFonts w:ascii="Times New Roman" w:hAnsi="Times New Roman" w:cs="Times New Roman"/>
          <w:sz w:val="24"/>
          <w:szCs w:val="24"/>
        </w:rPr>
        <w:t>. Основание возникновения права собственности должно обладать исключительным характером, поскольку именно так возможно не допустить злоупотребления субъективными правами в области строительства недвижимости.</w:t>
      </w:r>
      <w:r>
        <w:rPr>
          <w:rFonts w:ascii="Times New Roman" w:hAnsi="Times New Roman" w:cs="Times New Roman"/>
        </w:rPr>
        <w:t xml:space="preserve"> </w:t>
      </w:r>
      <w:r>
        <w:rPr>
          <w:rFonts w:ascii="Times New Roman" w:hAnsi="Times New Roman" w:cs="Times New Roman"/>
          <w:sz w:val="24"/>
          <w:szCs w:val="24"/>
        </w:rPr>
        <w:t>Нынешняя система гражданско-правовых норм должна основываться на адекватном балансе частноправовых и государственных интересов.</w:t>
      </w:r>
    </w:p>
    <w:p w14:paraId="126E8D7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Таким образом, уменьшение прав местной власти способствует снижению бюрократических процессов чиновников, содействует более упрощенному порядку признания за застройщиком права собственности на недвижимый объект, а также в равной мере будет защищать частные и публичные интересы в статье 222 ГК РФ. Данные изменения необходимы, потому что институт самовольной постройки со времен римского права подразумевал под собой основания возникновения права собственности на такой недвижимый объект.  </w:t>
      </w:r>
    </w:p>
    <w:p w14:paraId="363570C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rFonts w:ascii="Times New Roman" w:hAnsi="Times New Roman" w:cs="Times New Roman"/>
          <w:sz w:val="24"/>
          <w:szCs w:val="24"/>
        </w:rPr>
      </w:pPr>
    </w:p>
    <w:p w14:paraId="3B349A1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center"/>
        <w:rPr>
          <w:rFonts w:ascii="Times New Roman" w:hAnsi="Times New Roman" w:cs="Times New Roman"/>
          <w:b/>
          <w:bCs/>
          <w:sz w:val="24"/>
          <w:szCs w:val="24"/>
        </w:rPr>
      </w:pPr>
      <w:r>
        <w:rPr>
          <w:rFonts w:ascii="Times New Roman" w:hAnsi="Times New Roman" w:cs="Times New Roman"/>
          <w:b/>
          <w:bCs/>
          <w:sz w:val="24"/>
          <w:szCs w:val="24"/>
        </w:rPr>
        <w:t>Библиографический список</w:t>
      </w:r>
    </w:p>
    <w:p w14:paraId="6C088B1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center"/>
        <w:rPr>
          <w:rFonts w:ascii="Times New Roman" w:hAnsi="Times New Roman" w:cs="Times New Roman"/>
          <w:b/>
          <w:bCs/>
          <w:sz w:val="24"/>
          <w:szCs w:val="24"/>
        </w:rPr>
      </w:pPr>
    </w:p>
    <w:p w14:paraId="1ECC112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rPr>
        <w:t xml:space="preserve"> </w:t>
      </w:r>
      <w:r>
        <w:rPr>
          <w:rFonts w:ascii="Times New Roman" w:hAnsi="Times New Roman" w:cs="Times New Roman"/>
          <w:sz w:val="24"/>
          <w:szCs w:val="24"/>
        </w:rPr>
        <w:t>Грызыхина Елена Александровна Некоторые аспекты легализации самовольной постройки // Вестник ОмГУ. Серия. Право. 2008. №3. – С. 90-93.</w:t>
      </w:r>
    </w:p>
    <w:p w14:paraId="15BAAFF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2. Гумилевская О.В. История становления и развития института самовольной постройки / О.В.Гумилевская //Социально-гуманитарное знание. - 2008. - № 10. - С. 340-345.</w:t>
      </w:r>
    </w:p>
    <w:p w14:paraId="35FCF29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3. Гумилевская О.В. Ответственность за самовольное строительство в России / О.В.Гумилевская // Общество и право. - 2008 - № 1 (19) - С. 98-102.</w:t>
      </w:r>
    </w:p>
    <w:p w14:paraId="43F45C1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4. Карпов Евгений Алексеевич Самовольная постройка как основание приобретения права собственности: проблемные аспекты // Сервис +. - 2019. - №1. - С. 66-70.</w:t>
      </w:r>
    </w:p>
    <w:p w14:paraId="107E674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5. Основания признания права собственности на самовольную постройку: автореферат дис. кандидата юридических наук: 12.00.03 / Гумилевская Оксана Владимировна; [Место защиты: Кубан. гос. аграр. ун-т]. - Краснодар, 2008. - 23 с.</w:t>
      </w:r>
    </w:p>
    <w:p w14:paraId="5C4DD99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6. Право собственности в России: Лекция / В. П. Камышанский; М-во внутр. дел РФ. Волгогр. юрид. ин-т. - Волгоград, 1998. - 23 с.</w:t>
      </w:r>
    </w:p>
    <w:p w14:paraId="31A1C09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rFonts w:ascii="Times New Roman" w:hAnsi="Times New Roman" w:cs="Times New Roman"/>
          <w:sz w:val="24"/>
          <w:szCs w:val="24"/>
        </w:rPr>
      </w:pPr>
    </w:p>
    <w:p w14:paraId="25670E7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w:t>
      </w:r>
    </w:p>
    <w:p w14:paraId="7DA1E2D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sectPr w:rsidR="001B6C3B">
          <w:footnotePr>
            <w:numRestart w:val="eachPage"/>
          </w:footnotePr>
          <w:pgSz w:w="11906" w:h="16838"/>
          <w:pgMar w:top="1134" w:right="1134" w:bottom="1134" w:left="1134" w:header="709" w:footer="709" w:gutter="0"/>
          <w:cols w:space="720"/>
        </w:sectPr>
      </w:pPr>
    </w:p>
    <w:p w14:paraId="4688FBA5" w14:textId="77777777" w:rsidR="001B6C3B" w:rsidRDefault="001B6C3B" w:rsidP="001B6C3B">
      <w:pPr>
        <w:pStyle w:val="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left="4395"/>
        <w:jc w:val="both"/>
        <w:rPr>
          <w:rStyle w:val="FontStyle19"/>
          <w:sz w:val="24"/>
          <w:szCs w:val="24"/>
        </w:rPr>
      </w:pPr>
      <w:r>
        <w:rPr>
          <w:rStyle w:val="FontStyle19"/>
          <w:sz w:val="24"/>
          <w:szCs w:val="24"/>
        </w:rPr>
        <w:lastRenderedPageBreak/>
        <w:t>УДК 349.414</w:t>
      </w:r>
    </w:p>
    <w:p w14:paraId="102ACE2C" w14:textId="77777777" w:rsidR="001B6C3B" w:rsidRDefault="001B6C3B" w:rsidP="001B6C3B">
      <w:pPr>
        <w:pStyle w:val="Style3"/>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left="4395"/>
        <w:rPr>
          <w:rStyle w:val="FontStyle19"/>
          <w:b/>
          <w:i w:val="0"/>
          <w:caps/>
        </w:rPr>
      </w:pPr>
    </w:p>
    <w:p w14:paraId="553430A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left="4395"/>
        <w:jc w:val="both"/>
        <w:rPr>
          <w:sz w:val="24"/>
          <w:szCs w:val="24"/>
        </w:rPr>
      </w:pPr>
      <w:r>
        <w:rPr>
          <w:rFonts w:ascii="Times New Roman" w:hAnsi="Times New Roman" w:cs="Times New Roman"/>
          <w:b/>
          <w:sz w:val="24"/>
          <w:szCs w:val="24"/>
        </w:rPr>
        <w:t>Мироненко Игорь Александрович</w:t>
      </w:r>
    </w:p>
    <w:p w14:paraId="4E3C034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left="4395"/>
        <w:jc w:val="both"/>
        <w:rPr>
          <w:rFonts w:ascii="Times New Roman" w:hAnsi="Times New Roman" w:cs="Times New Roman"/>
          <w:b/>
          <w:sz w:val="24"/>
          <w:szCs w:val="24"/>
        </w:rPr>
      </w:pPr>
      <w:r>
        <w:rPr>
          <w:rFonts w:ascii="Times New Roman" w:hAnsi="Times New Roman" w:cs="Times New Roman"/>
          <w:b/>
          <w:sz w:val="24"/>
          <w:szCs w:val="24"/>
          <w:lang w:val="en-US"/>
        </w:rPr>
        <w:t>Mironenko</w:t>
      </w:r>
      <w:r w:rsidRPr="00430C1C">
        <w:rPr>
          <w:rFonts w:ascii="Times New Roman" w:hAnsi="Times New Roman" w:cs="Times New Roman"/>
          <w:b/>
          <w:sz w:val="24"/>
          <w:szCs w:val="24"/>
        </w:rPr>
        <w:t xml:space="preserve"> </w:t>
      </w:r>
      <w:r>
        <w:rPr>
          <w:rFonts w:ascii="Times New Roman" w:hAnsi="Times New Roman" w:cs="Times New Roman"/>
          <w:b/>
          <w:sz w:val="24"/>
          <w:szCs w:val="24"/>
          <w:lang w:val="en-US"/>
        </w:rPr>
        <w:t>Igor</w:t>
      </w:r>
      <w:r w:rsidRPr="00430C1C">
        <w:rPr>
          <w:rFonts w:ascii="Times New Roman" w:hAnsi="Times New Roman" w:cs="Times New Roman"/>
          <w:b/>
          <w:sz w:val="24"/>
          <w:szCs w:val="24"/>
        </w:rPr>
        <w:t xml:space="preserve"> </w:t>
      </w:r>
      <w:r>
        <w:rPr>
          <w:rFonts w:ascii="Times New Roman" w:hAnsi="Times New Roman" w:cs="Times New Roman"/>
          <w:b/>
          <w:sz w:val="24"/>
          <w:szCs w:val="24"/>
          <w:lang w:val="en-US"/>
        </w:rPr>
        <w:t>Alexandrovich</w:t>
      </w:r>
    </w:p>
    <w:p w14:paraId="6F56E85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395"/>
        <w:jc w:val="both"/>
        <w:rPr>
          <w:rFonts w:ascii="Times New Roman" w:hAnsi="Times New Roman" w:cs="Times New Roman"/>
          <w:sz w:val="24"/>
          <w:szCs w:val="24"/>
        </w:rPr>
      </w:pPr>
      <w:r>
        <w:rPr>
          <w:rFonts w:ascii="Times New Roman" w:hAnsi="Times New Roman" w:cs="Times New Roman"/>
          <w:sz w:val="24"/>
          <w:szCs w:val="24"/>
        </w:rPr>
        <w:t>магистрант юридического факультета Федеральное государственное бюджетное образовательное учреждение высшего образования «Кубанский государственный аграрный университет имени И.Т. Трубилина»</w:t>
      </w:r>
    </w:p>
    <w:p w14:paraId="741BAC10"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395"/>
        <w:jc w:val="both"/>
        <w:rPr>
          <w:lang w:eastAsia="en-US"/>
        </w:rPr>
      </w:pPr>
      <w:r>
        <w:rPr>
          <w:lang w:eastAsia="en-US"/>
        </w:rPr>
        <w:t>Federal State Budgetary Educational Institution of Higher Education “Kuban State Agrarian University named after I.T. Trubilin”</w:t>
      </w:r>
    </w:p>
    <w:p w14:paraId="64A4E203"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395"/>
        <w:jc w:val="both"/>
        <w:rPr>
          <w:lang w:val="ru-RU" w:eastAsia="en-US"/>
        </w:rPr>
      </w:pPr>
      <w:r>
        <w:rPr>
          <w:lang w:val="ru-RU" w:eastAsia="en-US"/>
        </w:rPr>
        <w:t>Российская Федерация, г. Краснодар</w:t>
      </w:r>
    </w:p>
    <w:p w14:paraId="247F8534"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395"/>
        <w:jc w:val="both"/>
        <w:rPr>
          <w:lang w:val="ru-RU" w:eastAsia="en-US"/>
        </w:rPr>
      </w:pPr>
      <w:r>
        <w:rPr>
          <w:lang w:eastAsia="en-US"/>
        </w:rPr>
        <w:t>Russian</w:t>
      </w:r>
      <w:r>
        <w:rPr>
          <w:lang w:val="ru-RU" w:eastAsia="en-US"/>
        </w:rPr>
        <w:t xml:space="preserve"> </w:t>
      </w:r>
      <w:r>
        <w:rPr>
          <w:lang w:eastAsia="en-US"/>
        </w:rPr>
        <w:t>Federation</w:t>
      </w:r>
      <w:r>
        <w:rPr>
          <w:lang w:val="ru-RU" w:eastAsia="en-US"/>
        </w:rPr>
        <w:t xml:space="preserve">, </w:t>
      </w:r>
      <w:r>
        <w:rPr>
          <w:lang w:eastAsia="en-US"/>
        </w:rPr>
        <w:t>Krasnodar</w:t>
      </w:r>
    </w:p>
    <w:p w14:paraId="4B25D5E3" w14:textId="77777777" w:rsidR="001B6C3B" w:rsidRDefault="00EE7838"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395"/>
        <w:jc w:val="both"/>
        <w:rPr>
          <w:rFonts w:ascii="Times New Roman" w:hAnsi="Times New Roman" w:cs="Times New Roman"/>
          <w:sz w:val="24"/>
          <w:szCs w:val="24"/>
        </w:rPr>
      </w:pPr>
      <w:hyperlink r:id="rId29" w:history="1">
        <w:r w:rsidR="001B6C3B">
          <w:rPr>
            <w:rStyle w:val="a9"/>
            <w:rFonts w:ascii="Times New Roman" w:hAnsi="Times New Roman" w:cs="Times New Roman"/>
            <w:sz w:val="24"/>
            <w:szCs w:val="24"/>
            <w:lang w:val="en-US"/>
          </w:rPr>
          <w:t>mironenkokrd</w:t>
        </w:r>
        <w:r w:rsidR="001B6C3B">
          <w:rPr>
            <w:rStyle w:val="a9"/>
            <w:rFonts w:ascii="Times New Roman" w:hAnsi="Times New Roman" w:cs="Times New Roman"/>
            <w:sz w:val="24"/>
            <w:szCs w:val="24"/>
          </w:rPr>
          <w:t>@</w:t>
        </w:r>
        <w:r w:rsidR="001B6C3B">
          <w:rPr>
            <w:rStyle w:val="a9"/>
            <w:rFonts w:ascii="Times New Roman" w:hAnsi="Times New Roman" w:cs="Times New Roman"/>
            <w:sz w:val="24"/>
            <w:szCs w:val="24"/>
            <w:lang w:val="en-US"/>
          </w:rPr>
          <w:t>gmail</w:t>
        </w:r>
        <w:r w:rsidR="001B6C3B">
          <w:rPr>
            <w:rStyle w:val="a9"/>
            <w:rFonts w:ascii="Times New Roman" w:hAnsi="Times New Roman" w:cs="Times New Roman"/>
            <w:sz w:val="24"/>
            <w:szCs w:val="24"/>
          </w:rPr>
          <w:t>.</w:t>
        </w:r>
        <w:r w:rsidR="001B6C3B">
          <w:rPr>
            <w:rStyle w:val="a9"/>
            <w:rFonts w:ascii="Times New Roman" w:hAnsi="Times New Roman" w:cs="Times New Roman"/>
            <w:sz w:val="24"/>
            <w:szCs w:val="24"/>
            <w:lang w:val="en-US"/>
          </w:rPr>
          <w:t>com</w:t>
        </w:r>
      </w:hyperlink>
    </w:p>
    <w:p w14:paraId="058B2F9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395"/>
        <w:jc w:val="both"/>
        <w:rPr>
          <w:rFonts w:ascii="Times New Roman" w:hAnsi="Times New Roman" w:cs="Times New Roman"/>
          <w:b/>
          <w:sz w:val="24"/>
          <w:szCs w:val="24"/>
        </w:rPr>
      </w:pPr>
      <w:r>
        <w:rPr>
          <w:rFonts w:ascii="Times New Roman" w:hAnsi="Times New Roman" w:cs="Times New Roman"/>
          <w:b/>
          <w:sz w:val="24"/>
          <w:szCs w:val="24"/>
        </w:rPr>
        <w:t xml:space="preserve">Научный руководитель: </w:t>
      </w:r>
    </w:p>
    <w:p w14:paraId="47ACC02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395"/>
        <w:jc w:val="both"/>
        <w:rPr>
          <w:rFonts w:ascii="Times New Roman" w:hAnsi="Times New Roman" w:cs="Times New Roman"/>
          <w:b/>
          <w:sz w:val="24"/>
          <w:szCs w:val="24"/>
        </w:rPr>
      </w:pPr>
      <w:r>
        <w:rPr>
          <w:rFonts w:ascii="Times New Roman" w:hAnsi="Times New Roman" w:cs="Times New Roman"/>
          <w:b/>
          <w:sz w:val="24"/>
          <w:szCs w:val="24"/>
        </w:rPr>
        <w:t>Камышанский Владимир Павлович</w:t>
      </w:r>
    </w:p>
    <w:p w14:paraId="4954FA1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395"/>
        <w:jc w:val="both"/>
        <w:rPr>
          <w:rFonts w:ascii="Times New Roman" w:hAnsi="Times New Roman" w:cs="Times New Roman"/>
          <w:sz w:val="24"/>
          <w:szCs w:val="24"/>
        </w:rPr>
      </w:pPr>
      <w:r>
        <w:rPr>
          <w:rFonts w:ascii="Times New Roman" w:hAnsi="Times New Roman" w:cs="Times New Roman"/>
          <w:sz w:val="24"/>
          <w:szCs w:val="24"/>
        </w:rPr>
        <w:t>доктор юридических наук, профессор</w:t>
      </w:r>
    </w:p>
    <w:p w14:paraId="5C0A9D8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p>
    <w:p w14:paraId="1E4AB3E4" w14:textId="77777777" w:rsidR="001B6C3B" w:rsidRDefault="001B6C3B" w:rsidP="001B6C3B">
      <w:pPr>
        <w:pStyle w:val="Style3"/>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rPr>
          <w:rStyle w:val="FontStyle19"/>
          <w:b/>
          <w:bCs/>
          <w:i w:val="0"/>
          <w:caps/>
        </w:rPr>
      </w:pPr>
    </w:p>
    <w:p w14:paraId="32E3F5DD" w14:textId="77777777" w:rsidR="001B6C3B" w:rsidRDefault="001B6C3B" w:rsidP="001B6C3B">
      <w:pPr>
        <w:pStyle w:val="Style3"/>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center"/>
        <w:rPr>
          <w:rStyle w:val="FontStyle19"/>
          <w:b/>
          <w:bCs/>
          <w:i w:val="0"/>
          <w:iCs w:val="0"/>
          <w:caps/>
        </w:rPr>
      </w:pPr>
      <w:r>
        <w:rPr>
          <w:rStyle w:val="FontStyle19"/>
          <w:b/>
          <w:bCs/>
          <w:caps/>
        </w:rPr>
        <w:t>Конфискация и реквизиция земельных участков: проблемы правового регулирования</w:t>
      </w:r>
    </w:p>
    <w:p w14:paraId="6E5BF66D" w14:textId="77777777" w:rsidR="001B6C3B" w:rsidRDefault="001B6C3B" w:rsidP="001B6C3B">
      <w:pPr>
        <w:pStyle w:val="Style3"/>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center"/>
        <w:rPr>
          <w:lang w:val="en-US"/>
        </w:rPr>
      </w:pPr>
      <w:r w:rsidRPr="007572E9">
        <w:rPr>
          <w:b/>
          <w:caps/>
          <w:lang w:val="en-US"/>
        </w:rPr>
        <w:br/>
      </w:r>
      <w:r>
        <w:rPr>
          <w:b/>
          <w:caps/>
          <w:lang w:val="en-US"/>
        </w:rPr>
        <w:t>Confiscation and requisition of land: problems of legal regulation</w:t>
      </w:r>
    </w:p>
    <w:p w14:paraId="590996F4" w14:textId="77777777" w:rsidR="001B6C3B" w:rsidRDefault="001B6C3B" w:rsidP="001B6C3B">
      <w:pPr>
        <w:pStyle w:val="Style3"/>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rPr>
          <w:b/>
          <w:iCs/>
          <w:caps/>
          <w:lang w:val="en-US"/>
        </w:rPr>
      </w:pPr>
    </w:p>
    <w:p w14:paraId="5FF0E31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Cs/>
          <w:sz w:val="24"/>
          <w:szCs w:val="24"/>
        </w:rPr>
      </w:pPr>
      <w:r>
        <w:rPr>
          <w:rFonts w:ascii="Times New Roman" w:hAnsi="Times New Roman" w:cs="Times New Roman"/>
          <w:iCs/>
          <w:sz w:val="24"/>
          <w:szCs w:val="24"/>
        </w:rPr>
        <w:t>Аннотация: научная статья раскрывает особенности правового регулирования института конфискации и реквизиции земельных участков, выявляются существующие в данном разрезе проблемы в гражданском и земельном законодательстве и предлагаются пути их решения.</w:t>
      </w:r>
    </w:p>
    <w:p w14:paraId="374491A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Cs/>
          <w:sz w:val="24"/>
          <w:szCs w:val="24"/>
        </w:rPr>
      </w:pPr>
      <w:r>
        <w:rPr>
          <w:rFonts w:ascii="Times New Roman" w:hAnsi="Times New Roman" w:cs="Times New Roman"/>
          <w:iCs/>
          <w:sz w:val="24"/>
          <w:szCs w:val="24"/>
        </w:rPr>
        <w:t>Ключевые слова: конфискация, реквизиция, земельный участок, право собственности, гражданское право, земельное право.</w:t>
      </w:r>
    </w:p>
    <w:p w14:paraId="5C951C5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Cs/>
          <w:sz w:val="24"/>
          <w:szCs w:val="24"/>
        </w:rPr>
      </w:pPr>
    </w:p>
    <w:p w14:paraId="5F6C4F6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Cs/>
          <w:sz w:val="24"/>
          <w:szCs w:val="24"/>
        </w:rPr>
      </w:pPr>
      <w:r>
        <w:rPr>
          <w:rFonts w:ascii="Times New Roman" w:hAnsi="Times New Roman" w:cs="Times New Roman"/>
          <w:iCs/>
          <w:sz w:val="24"/>
          <w:szCs w:val="24"/>
        </w:rPr>
        <w:t>Гражданское и земельное законодательство РФ предоставляет возможность изъятия земельных участков у их собственников, но лишь по указанным в законе основаниям, при этом важно отметить, что такое изъятие может осуществляться на возмездной форме или на безвозмездной.</w:t>
      </w:r>
    </w:p>
    <w:p w14:paraId="592F058C" w14:textId="5BE3561E"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Cs/>
          <w:sz w:val="24"/>
          <w:szCs w:val="24"/>
        </w:rPr>
      </w:pPr>
      <w:r>
        <w:rPr>
          <w:rFonts w:ascii="Times New Roman" w:hAnsi="Times New Roman" w:cs="Times New Roman"/>
          <w:iCs/>
          <w:sz w:val="24"/>
          <w:szCs w:val="24"/>
        </w:rPr>
        <w:t>Примером прекращения права собственности на землю безвозмездно выступает случай, когда земельный участок изымается за долги или же, когда собственником совершено правонарушение, мерой принудительного характера для такого лица будет выступать конфискации принадлежащего ему имущества.</w:t>
      </w:r>
      <w:r w:rsidR="00DB36FA">
        <w:rPr>
          <w:rFonts w:ascii="Times New Roman" w:hAnsi="Times New Roman" w:cs="Times New Roman"/>
          <w:iCs/>
          <w:sz w:val="24"/>
          <w:szCs w:val="24"/>
        </w:rPr>
        <w:t xml:space="preserve"> Также примером может быть использование земельного участка для добычи недр на континентальном шельфе, осуществляемой с нарушением условий договора</w:t>
      </w:r>
      <w:r w:rsidR="00DB36FA">
        <w:rPr>
          <w:rStyle w:val="a7"/>
          <w:rFonts w:ascii="Times New Roman" w:hAnsi="Times New Roman" w:cs="Times New Roman"/>
          <w:iCs/>
          <w:sz w:val="24"/>
          <w:szCs w:val="24"/>
        </w:rPr>
        <w:footnoteReference w:id="234"/>
      </w:r>
      <w:r w:rsidR="00DB36FA">
        <w:rPr>
          <w:rFonts w:ascii="Times New Roman" w:hAnsi="Times New Roman" w:cs="Times New Roman"/>
          <w:iCs/>
          <w:sz w:val="24"/>
          <w:szCs w:val="24"/>
        </w:rPr>
        <w:t>.</w:t>
      </w:r>
    </w:p>
    <w:p w14:paraId="7BF4B19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Cs/>
          <w:sz w:val="24"/>
          <w:szCs w:val="24"/>
        </w:rPr>
      </w:pPr>
      <w:r>
        <w:rPr>
          <w:rFonts w:ascii="Times New Roman" w:hAnsi="Times New Roman" w:cs="Times New Roman"/>
          <w:iCs/>
          <w:sz w:val="24"/>
          <w:szCs w:val="24"/>
        </w:rPr>
        <w:t>Определение конфискации закреплено в ч. 1 ст. 104.1 УК РФ и раскрывается как «принудительное безвозмездное изъятие и обращение в собственность государства на основании вынесенного обвинительного приговора определенного имущества». Исходя из положений уголовного закона, необходимо отметить, что конфискация земельного участка возможно только у физического лица, так как уголовной ответственности подлежит только вменяемое физические лицо, достигшее возраста уголовной ответственности.</w:t>
      </w:r>
    </w:p>
    <w:p w14:paraId="754EA12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Cs/>
          <w:sz w:val="24"/>
          <w:szCs w:val="24"/>
        </w:rPr>
      </w:pPr>
      <w:r>
        <w:rPr>
          <w:rFonts w:ascii="Times New Roman" w:hAnsi="Times New Roman" w:cs="Times New Roman"/>
          <w:iCs/>
          <w:sz w:val="24"/>
          <w:szCs w:val="24"/>
        </w:rPr>
        <w:t xml:space="preserve">Рассмотрение института конфискации земельных участков невозможно без анализа гражданского и земельного законодательства РФ. Так ст. 243 ГК РФ и ст. 50 ЗК РФ гласят о </w:t>
      </w:r>
      <w:r>
        <w:rPr>
          <w:rFonts w:ascii="Times New Roman" w:hAnsi="Times New Roman" w:cs="Times New Roman"/>
          <w:iCs/>
          <w:sz w:val="24"/>
          <w:szCs w:val="24"/>
        </w:rPr>
        <w:lastRenderedPageBreak/>
        <w:t>возможности изъятия в пользу государства земли у собственника по решению суда в виде санкции за совершенное им преступление</w:t>
      </w:r>
    </w:p>
    <w:p w14:paraId="6488921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Cs/>
          <w:sz w:val="24"/>
          <w:szCs w:val="24"/>
        </w:rPr>
      </w:pPr>
      <w:r>
        <w:rPr>
          <w:rFonts w:ascii="Times New Roman" w:hAnsi="Times New Roman" w:cs="Times New Roman"/>
          <w:iCs/>
          <w:sz w:val="24"/>
          <w:szCs w:val="24"/>
        </w:rPr>
        <w:t>Из этих норм мы можем сделать вывод о том, что такая процедура конфискации выступает для собственника земельного участка санкцией за нарушение уголовного закона. Для реализации такой процедуры обязательным аспектом является установление судом корыстных побуждений при совершении преступного деяния, УК РФ содержит закрытый перечень таких деяний. По решению суда может применяться полная или частичная конфискация, в последнем случае суд определяет конкретную часть, которая подлежит принудительному изъятию.</w:t>
      </w:r>
    </w:p>
    <w:p w14:paraId="665A004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Cs/>
          <w:sz w:val="24"/>
          <w:szCs w:val="24"/>
        </w:rPr>
      </w:pPr>
      <w:r>
        <w:rPr>
          <w:rFonts w:ascii="Times New Roman" w:hAnsi="Times New Roman" w:cs="Times New Roman"/>
          <w:iCs/>
          <w:sz w:val="24"/>
          <w:szCs w:val="24"/>
        </w:rPr>
        <w:t>Помимо того, что конфискация может выступать санкцией за совершение преступления, также стоит отметить, что конфискация земельного участка допускается и за совершение гражданско-правового правонарушения, после признания сделки недействительной.</w:t>
      </w:r>
      <w:r>
        <w:rPr>
          <w:rStyle w:val="a7"/>
          <w:rFonts w:ascii="Times New Roman" w:hAnsi="Times New Roman" w:cs="Times New Roman"/>
          <w:iCs/>
          <w:sz w:val="24"/>
          <w:szCs w:val="24"/>
        </w:rPr>
        <w:footnoteReference w:id="235"/>
      </w:r>
      <w:r>
        <w:rPr>
          <w:rFonts w:ascii="Times New Roman" w:hAnsi="Times New Roman" w:cs="Times New Roman"/>
          <w:iCs/>
          <w:sz w:val="24"/>
          <w:szCs w:val="24"/>
        </w:rPr>
        <w:t xml:space="preserve">  </w:t>
      </w:r>
    </w:p>
    <w:p w14:paraId="25C9A84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Cs/>
          <w:sz w:val="24"/>
          <w:szCs w:val="24"/>
        </w:rPr>
      </w:pPr>
      <w:r>
        <w:rPr>
          <w:rFonts w:ascii="Times New Roman" w:hAnsi="Times New Roman" w:cs="Times New Roman"/>
          <w:iCs/>
          <w:sz w:val="24"/>
          <w:szCs w:val="24"/>
        </w:rPr>
        <w:t>Например, это возможно в случаях признания сделок ничтожными в соответствии со ст. 169 ГК РФ. Исходя из того, что за совершение сделок, которые противоречат букве закона, статьей 169 ГК РФ предусмотрена тяжелая санкция, суду необходимо детально исследовать все предоставленные истцом доказательства, для вынесения законного и объективного решения.</w:t>
      </w:r>
    </w:p>
    <w:p w14:paraId="444917F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Cs/>
          <w:sz w:val="24"/>
          <w:szCs w:val="24"/>
        </w:rPr>
      </w:pPr>
      <w:r>
        <w:rPr>
          <w:rFonts w:ascii="Times New Roman" w:hAnsi="Times New Roman" w:cs="Times New Roman"/>
          <w:iCs/>
          <w:sz w:val="24"/>
          <w:szCs w:val="24"/>
        </w:rPr>
        <w:t>В случаях, когда собственник вынужденно, в силу тяжелой жизненной ситуации, продает земельный участок на очевидно невыгодных для себя условиях (кабальная сделка), чем воспользовался покупатель, то такая сделка судом будет признана ничтожной. После признания судом сделки ничтожно имущественные отношения между сторонами возвращаются в первоначальное состояние. Такой процесс в гражданском праве именуется реституцией. При этом покупатель, получивший в силу кабальной сделки в собственность земельный участок, обязан его вернуть продавцу, а когда это сделать не представляется возможным, возвестить стоимость данной недвижимости.</w:t>
      </w:r>
    </w:p>
    <w:p w14:paraId="432826D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Cs/>
          <w:sz w:val="24"/>
          <w:szCs w:val="24"/>
        </w:rPr>
      </w:pPr>
      <w:r>
        <w:rPr>
          <w:rFonts w:ascii="Times New Roman" w:hAnsi="Times New Roman" w:cs="Times New Roman"/>
          <w:iCs/>
          <w:sz w:val="24"/>
          <w:szCs w:val="24"/>
        </w:rPr>
        <w:t>Учитывая рассмотренные выше положения ст. 169 ГК РФ, ст. 179 ГК РФ и ст. 50 ЗК РФ, возникает вопрос, возможна ли конфискация земельного участка за совершение собственником такого имущества преступления, вследствие которого сделка была признана недействительной? Существуют разные варианты решения данного вопроса. Е.И. Чесовской в своих трудах излагает точку зрения, что норма, закрепленная в ст. 50 ЗК РФ по своему содержанию не имеет единого значения и в процессе реализации на практике может провоцировать затруднения в ее применении .</w:t>
      </w:r>
      <w:r>
        <w:rPr>
          <w:rStyle w:val="a7"/>
          <w:rFonts w:ascii="Times New Roman" w:hAnsi="Times New Roman" w:cs="Times New Roman"/>
          <w:iCs/>
          <w:sz w:val="24"/>
          <w:szCs w:val="24"/>
        </w:rPr>
        <w:footnoteReference w:id="236"/>
      </w:r>
      <w:r>
        <w:rPr>
          <w:rFonts w:ascii="Times New Roman" w:hAnsi="Times New Roman" w:cs="Times New Roman"/>
          <w:iCs/>
          <w:sz w:val="24"/>
          <w:szCs w:val="24"/>
        </w:rPr>
        <w:t xml:space="preserve"> Этот же автор считает, что «в конструкции нормы ст. 50 ЗК РФ отсутствует ряд существенных условий, позволяющих применить принудительное изъятие земельного участка у его собственника, а именно, «тяжесть преступления, корыстные мотивы его совершения и содержащийся в УК РФ перечень составов преступлений». При этом, анализируя положения ст. 50 ЗК РФ, в данном случае, можно прийти к выводу о ее противоречии нормам статей 169, 179 ГК РФ, так как процедура конфискации предусматривается лишь за совершенное собственником земельного участка преступление.</w:t>
      </w:r>
    </w:p>
    <w:p w14:paraId="7667832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Cs/>
          <w:sz w:val="24"/>
          <w:szCs w:val="24"/>
        </w:rPr>
      </w:pPr>
      <w:r>
        <w:rPr>
          <w:rFonts w:ascii="Times New Roman" w:hAnsi="Times New Roman" w:cs="Times New Roman"/>
          <w:iCs/>
          <w:sz w:val="24"/>
          <w:szCs w:val="24"/>
        </w:rPr>
        <w:t>На наш взгляд, было бы целесообразно для устранения такого противоречия дополнить ст. 50 ЗК РФ положением о возможности применения мер конфискации земельного участка по решению суда за совершение соответствующего преступления, предусмотренного уголовным законом и предусматривающего этот вид наказания.</w:t>
      </w:r>
    </w:p>
    <w:p w14:paraId="7C1EBEE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Cs/>
          <w:sz w:val="24"/>
          <w:szCs w:val="24"/>
        </w:rPr>
      </w:pPr>
      <w:r>
        <w:rPr>
          <w:rFonts w:ascii="Times New Roman" w:hAnsi="Times New Roman" w:cs="Times New Roman"/>
          <w:iCs/>
          <w:sz w:val="24"/>
          <w:szCs w:val="24"/>
        </w:rPr>
        <w:t xml:space="preserve">Также, полагаем отметить и тот факт, что в ч. 2 ст. 235 ГК РФ закреплен исчерпывающий перечень оснований, в связи с наличием которых необходимо принудительное прекращение права собственности, однако в нем отсутствует такое основание как, совершения недействительной сделки, что является явным противоречием. После </w:t>
      </w:r>
      <w:r>
        <w:rPr>
          <w:rFonts w:ascii="Times New Roman" w:hAnsi="Times New Roman" w:cs="Times New Roman"/>
          <w:iCs/>
          <w:sz w:val="24"/>
          <w:szCs w:val="24"/>
        </w:rPr>
        <w:lastRenderedPageBreak/>
        <w:t>изложения данного факта приходим к выводу о том, что ст. 50 ЗК РФ расширяет перечень оснований конфискации земельного участка, что, безусловно, идет вразрез с российским законодательством.</w:t>
      </w:r>
    </w:p>
    <w:p w14:paraId="428EF1B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Cs/>
          <w:sz w:val="24"/>
          <w:szCs w:val="24"/>
        </w:rPr>
      </w:pPr>
      <w:r>
        <w:rPr>
          <w:rFonts w:ascii="Times New Roman" w:hAnsi="Times New Roman" w:cs="Times New Roman"/>
          <w:iCs/>
          <w:sz w:val="24"/>
          <w:szCs w:val="24"/>
        </w:rPr>
        <w:t xml:space="preserve">Следует изложить норму ст. 50 ЗК РФ следующим образом: «Безвозмездное изъятие земельного участка допускается у его собственника исключительно на основании вступившего в законную силу решения суда в виде санкции за совершенное им преступление или иное правонарушение (конфискация)». Данное действие приведет нормы ст. 50 ЗК РФ и статей 235, 243 ГК РФ в согласованный вид.  </w:t>
      </w:r>
    </w:p>
    <w:p w14:paraId="00DD050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Cs/>
          <w:sz w:val="24"/>
          <w:szCs w:val="24"/>
        </w:rPr>
      </w:pPr>
      <w:r>
        <w:rPr>
          <w:rFonts w:ascii="Times New Roman" w:hAnsi="Times New Roman" w:cs="Times New Roman"/>
          <w:iCs/>
          <w:sz w:val="24"/>
          <w:szCs w:val="24"/>
        </w:rPr>
        <w:t>Возмездная форма изъятия земельного участка имеет место в том случае, если государством принят конкретный закон, который предусматривает положения о прекращении право собственности определенного круга лиц. В таком случае, в соответствии со ст. 306 ГК РФ, в отношении таких лиц, право собственности которых подпадает под действие такого закона, будет возмещена стоимость изъятого имущества. В судебном порядке разрешаются, возникшие по поводу размера возмещения убытков, споры.</w:t>
      </w:r>
    </w:p>
    <w:p w14:paraId="3A16B2D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Cs/>
          <w:sz w:val="24"/>
          <w:szCs w:val="24"/>
        </w:rPr>
      </w:pPr>
      <w:r>
        <w:rPr>
          <w:rFonts w:ascii="Times New Roman" w:hAnsi="Times New Roman" w:cs="Times New Roman"/>
          <w:iCs/>
          <w:sz w:val="24"/>
          <w:szCs w:val="24"/>
        </w:rPr>
        <w:t>Анализ современных правовых актов позволил сделать вывод о том, что исчерпывающий перечень оснований, по которым возможно прекращение права собственности, указан в Гражданском кодекс РФ, а точнее в ч. 2 ст. 235 ГК РФ. Устойчивость отношениям собственности в Российской федерации придает невозможность расширенного толкования этого перечня, посредством принятия иных законов.</w:t>
      </w:r>
      <w:r>
        <w:rPr>
          <w:rStyle w:val="a7"/>
          <w:rFonts w:ascii="Times New Roman" w:hAnsi="Times New Roman" w:cs="Times New Roman"/>
          <w:iCs/>
          <w:sz w:val="24"/>
          <w:szCs w:val="24"/>
        </w:rPr>
        <w:footnoteReference w:id="237"/>
      </w:r>
    </w:p>
    <w:p w14:paraId="13D6A42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Cs/>
          <w:sz w:val="24"/>
          <w:szCs w:val="24"/>
        </w:rPr>
      </w:pPr>
      <w:r>
        <w:rPr>
          <w:rFonts w:ascii="Times New Roman" w:hAnsi="Times New Roman" w:cs="Times New Roman"/>
          <w:iCs/>
          <w:sz w:val="24"/>
          <w:szCs w:val="24"/>
        </w:rPr>
        <w:t xml:space="preserve">Основания, перечисленные в нормах Гражданского кодекса РФ, распространяют свое действие только на процедуру прекращения права собственности  физических либо юридических лиц. Касательно прекращения государственной и муниципальной собственности, российское законодательство предусматривает такой ме6ханизм прекращения права собственности этих категорий как приватизации имущества. Путем приватизации Российская Федерация встала на путь экономических преобразований, расширила рынок земли и хозяйственный оборот земельных участков. </w:t>
      </w:r>
    </w:p>
    <w:p w14:paraId="2C64B2F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Cs/>
          <w:sz w:val="24"/>
          <w:szCs w:val="24"/>
        </w:rPr>
      </w:pPr>
      <w:r>
        <w:rPr>
          <w:rFonts w:ascii="Times New Roman" w:hAnsi="Times New Roman" w:cs="Times New Roman"/>
          <w:iCs/>
          <w:sz w:val="24"/>
          <w:szCs w:val="24"/>
        </w:rPr>
        <w:t xml:space="preserve">Помимо этого, действующем законодательстве наличествует такое основание прекращения права собственности на землю, как реквизиция - мера принудительного возмездного изъятия земельного участка у собственника государством. </w:t>
      </w:r>
    </w:p>
    <w:p w14:paraId="2E32105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Cs/>
          <w:sz w:val="24"/>
          <w:szCs w:val="24"/>
        </w:rPr>
      </w:pPr>
      <w:r>
        <w:rPr>
          <w:rFonts w:ascii="Times New Roman" w:hAnsi="Times New Roman" w:cs="Times New Roman"/>
          <w:iCs/>
          <w:sz w:val="24"/>
          <w:szCs w:val="24"/>
        </w:rPr>
        <w:t>Отличительной особенностью, которая отличает реквизицию от конфискации, является то, что изъятие земельного участка сопровождается выплатой компенсации за имущество и, как правило, изъятие по процедуре  реквизиции носит временный характер.</w:t>
      </w:r>
    </w:p>
    <w:p w14:paraId="51AA6B7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Cs/>
          <w:sz w:val="24"/>
          <w:szCs w:val="24"/>
        </w:rPr>
      </w:pPr>
      <w:r>
        <w:rPr>
          <w:rFonts w:ascii="Times New Roman" w:hAnsi="Times New Roman" w:cs="Times New Roman"/>
          <w:iCs/>
          <w:sz w:val="24"/>
          <w:szCs w:val="24"/>
        </w:rPr>
        <w:t xml:space="preserve">Учитывая, что ст. 242 ГК РФ, допускает применение процедуры реквизиции, относятся к гражданскому законодательству, то и рассматривать ее необходимо в аспекте гражданско-правового института. Из нормы, указанной выше, вытекает очевидность отсутствия карательного механизма при применении реквизиции, чего не скажешь о процедуре конфискации. Первая процедура применяется лишь при острой необходимости, для обеспечения жизненно важных интересов. </w:t>
      </w:r>
    </w:p>
    <w:p w14:paraId="11E9B07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Cs/>
          <w:sz w:val="24"/>
          <w:szCs w:val="24"/>
        </w:rPr>
      </w:pPr>
      <w:r>
        <w:rPr>
          <w:rFonts w:ascii="Times New Roman" w:hAnsi="Times New Roman" w:cs="Times New Roman"/>
          <w:iCs/>
          <w:sz w:val="24"/>
          <w:szCs w:val="24"/>
        </w:rPr>
        <w:t>Важно отметить тот факт, что ранее, в законодательстве советского периода нормы о порядке и последствиях осуществления реквизиции не находили своего официального закрепления. Земельный кодекс РФ заполнил этот пробел, указав в ст. 51 основные положения института реквизиции, а также не оставил без внимания порядок реализации такого института.</w:t>
      </w:r>
      <w:r>
        <w:rPr>
          <w:rStyle w:val="a7"/>
          <w:rFonts w:ascii="Times New Roman" w:hAnsi="Times New Roman" w:cs="Times New Roman"/>
          <w:iCs/>
          <w:sz w:val="24"/>
          <w:szCs w:val="24"/>
        </w:rPr>
        <w:footnoteReference w:id="238"/>
      </w:r>
      <w:r>
        <w:rPr>
          <w:rFonts w:ascii="Times New Roman" w:hAnsi="Times New Roman" w:cs="Times New Roman"/>
          <w:iCs/>
          <w:sz w:val="24"/>
          <w:szCs w:val="24"/>
        </w:rPr>
        <w:t xml:space="preserve"> Из анализа ст. 242 ГК РФ и ст. 51 ЗК РФ, можно сказать, что понятие реквизиции, закрепленное в ГК РФ, в какой-то части интерпретировано Земельным кодексом.</w:t>
      </w:r>
    </w:p>
    <w:p w14:paraId="4D237ED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Cs/>
          <w:sz w:val="24"/>
          <w:szCs w:val="24"/>
        </w:rPr>
      </w:pPr>
      <w:r>
        <w:rPr>
          <w:rFonts w:ascii="Times New Roman" w:hAnsi="Times New Roman" w:cs="Times New Roman"/>
          <w:iCs/>
          <w:sz w:val="24"/>
          <w:szCs w:val="24"/>
        </w:rPr>
        <w:t xml:space="preserve">Положения ст. 51 ЗК РФ носит специальный характер и распространяется только на земельные участки, а положения ст. 242 ГК РФ касаются  реквизиции иного имущества. Однако смысл статей ГК РФ и ЗК РФ по данному вопросу порождает в научных кругах дискуссию. Согласно ч. 4 ст. 35 ЗК РФ  отчуждение здания, сооружения, находящихся на </w:t>
      </w:r>
      <w:r>
        <w:rPr>
          <w:rFonts w:ascii="Times New Roman" w:hAnsi="Times New Roman" w:cs="Times New Roman"/>
          <w:iCs/>
          <w:sz w:val="24"/>
          <w:szCs w:val="24"/>
        </w:rPr>
        <w:lastRenderedPageBreak/>
        <w:t>земельном участке и принадлежащих одному лицу, проводится вместе с земельным участком, за исключением случаев, указанных законом. Следовательно, если на земельном участке расположено иное имущество, которое невозможно отделить от земельного участка с сохранением всех его свойств, то такое имущество следует судьбе земельного участка. Поэтому здесь возникает вопрос, нормами какого законодательства пользоваться при наступлении такой ситуации?</w:t>
      </w:r>
    </w:p>
    <w:p w14:paraId="65C63ED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Cs/>
          <w:sz w:val="24"/>
          <w:szCs w:val="24"/>
        </w:rPr>
      </w:pPr>
      <w:r>
        <w:rPr>
          <w:rFonts w:ascii="Times New Roman" w:hAnsi="Times New Roman" w:cs="Times New Roman"/>
          <w:iCs/>
          <w:sz w:val="24"/>
          <w:szCs w:val="24"/>
        </w:rPr>
        <w:t xml:space="preserve">Земельный кодекс уточняет, что лишь специально уполномоченные исполнительные органы государственной власти имеют право осуществлять изъятие земельного участка, а ГК РФ содержит лишь фразу «по решению государственных органов». </w:t>
      </w:r>
    </w:p>
    <w:p w14:paraId="0164DF0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Cs/>
          <w:sz w:val="24"/>
          <w:szCs w:val="24"/>
        </w:rPr>
      </w:pPr>
      <w:r>
        <w:rPr>
          <w:rFonts w:ascii="Times New Roman" w:hAnsi="Times New Roman" w:cs="Times New Roman"/>
          <w:iCs/>
          <w:sz w:val="24"/>
          <w:szCs w:val="24"/>
        </w:rPr>
        <w:t>При всем при этом в современном гражданском законодательстве существует ряд проблем, связанных с правовым регулированием института реквизиции. Примером выступает неурегулированный вопрос, вытекающий из положения ЗК РФ о временном характере реквизиции, то есть собственнику никто не может дать гарантий, что в течение конкретного промежутка времени чрезвычайные обстоятельства пройдут и он получит обратно право собственности. Исходя из этого, пока собственник ожидает возврата права собственности на земельный участок в течение неопределенного срока, испытывая определённые неудобства. При этом он имеет право на получение возмещения убытков, но не полной стоимости имущества (как установлено ГК РФ). Хотя в законе речь идет о  причиненных убытках, считаем более корректным вести речь об убытках, которые причиняются на всем протяжении времени ожидания возврата права собственности. В таком случае остается неразрешенным вопрос, каким образом будут возмещаться длящиеся убытки, определяться размер и момент их выплат. Установленная законом возможность обжалования размера убытков, не способна в полном объеме защитить интересы собственника.</w:t>
      </w:r>
    </w:p>
    <w:p w14:paraId="15CCAFC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Cs/>
          <w:sz w:val="24"/>
          <w:szCs w:val="24"/>
        </w:rPr>
      </w:pPr>
      <w:r>
        <w:rPr>
          <w:rFonts w:ascii="Times New Roman" w:hAnsi="Times New Roman" w:cs="Times New Roman"/>
          <w:iCs/>
          <w:sz w:val="24"/>
          <w:szCs w:val="24"/>
        </w:rPr>
        <w:t>Также важно отметить, когда последующий возврат земельного участка его собственнику невозможен, последний вправе потребовать возмещения рыночной стоимости земельного участка или предоставления равноценного изъятому участка в соответствии со ст. 66 ЗК РФ.</w:t>
      </w:r>
    </w:p>
    <w:p w14:paraId="687FA9B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Cs/>
          <w:sz w:val="24"/>
          <w:szCs w:val="24"/>
        </w:rPr>
      </w:pPr>
      <w:r>
        <w:rPr>
          <w:rFonts w:ascii="Times New Roman" w:hAnsi="Times New Roman" w:cs="Times New Roman"/>
          <w:iCs/>
          <w:sz w:val="24"/>
          <w:szCs w:val="24"/>
        </w:rPr>
        <w:t>Имущество в порядке реквизиции изымается в административном порядке по решению государственных органов и без предварительного и равноценного возмещения его стоимости, что не соответствует правилам ч.3 ст.35 Конституции РФ. Считаем, что данный вопрос должен быть урегулирован в законодательстве.</w:t>
      </w:r>
    </w:p>
    <w:p w14:paraId="049F1A6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Cs/>
          <w:sz w:val="24"/>
          <w:szCs w:val="24"/>
        </w:rPr>
      </w:pPr>
      <w:r>
        <w:rPr>
          <w:rFonts w:ascii="Times New Roman" w:hAnsi="Times New Roman" w:cs="Times New Roman"/>
          <w:iCs/>
          <w:sz w:val="24"/>
          <w:szCs w:val="24"/>
        </w:rPr>
        <w:t>Исходя из многогранности особенностей института реквизиции, вытекает необходимость урегулирования порядка реализации данного института в специальном законе. На сегодняшний день такового не существует, помимо Сводного закона РСФСР от 28 марта 1927 г. «О реквизиции и конфискации имущества», положения которого лишь косвенно раскрывают особенности данного института.</w:t>
      </w:r>
      <w:r>
        <w:rPr>
          <w:rStyle w:val="a7"/>
          <w:rFonts w:ascii="Times New Roman" w:hAnsi="Times New Roman" w:cs="Times New Roman"/>
          <w:iCs/>
          <w:sz w:val="24"/>
          <w:szCs w:val="24"/>
        </w:rPr>
        <w:footnoteReference w:id="239"/>
      </w:r>
    </w:p>
    <w:p w14:paraId="66C4AAB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Cs/>
          <w:sz w:val="24"/>
          <w:szCs w:val="24"/>
        </w:rPr>
      </w:pPr>
      <w:r>
        <w:rPr>
          <w:rFonts w:ascii="Times New Roman" w:hAnsi="Times New Roman" w:cs="Times New Roman"/>
          <w:iCs/>
          <w:sz w:val="24"/>
          <w:szCs w:val="24"/>
        </w:rPr>
        <w:t xml:space="preserve">Таким образом, изучив статьи гражданского и земельного законодательства, в которых раскрывается понятие «реквизиция», приходим к выводу, что ст. 51 ЗК РФ содержит одноименное, но отличающееся по своему содержанию правоотношение, возникающее в связи с изъятием земельного участка у собственника. </w:t>
      </w:r>
    </w:p>
    <w:p w14:paraId="21D5613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Cs/>
          <w:sz w:val="24"/>
          <w:szCs w:val="24"/>
        </w:rPr>
      </w:pPr>
      <w:r>
        <w:rPr>
          <w:rFonts w:ascii="Times New Roman" w:hAnsi="Times New Roman" w:cs="Times New Roman"/>
          <w:iCs/>
          <w:sz w:val="24"/>
          <w:szCs w:val="24"/>
        </w:rPr>
        <w:t>Полагаем, важно отметить, что земельное законодательство рассматривает реквизицию как особый случай временного ограничения права собственности на земельный участок и при этом не только собственника, но и иного титульного владельца. Гражданское же законодательство под реквизицией предусматривает безоговорочное прекращение права собственности на изъятое имущество и, что важно, лишь у его собственника. Поэтому, когда речь идет о конфискации земельного участка, то в таких случаях действует норма Земельного кодекса РФ, а регулирование данного случая ст. 242 ГК РФ недопустимо, т.к. подобное установлено земельным законодательством.</w:t>
      </w:r>
    </w:p>
    <w:p w14:paraId="11FFE3D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Cs/>
          <w:sz w:val="24"/>
          <w:szCs w:val="24"/>
        </w:rPr>
      </w:pPr>
      <w:r>
        <w:rPr>
          <w:rFonts w:ascii="Times New Roman" w:hAnsi="Times New Roman" w:cs="Times New Roman"/>
          <w:iCs/>
          <w:sz w:val="24"/>
          <w:szCs w:val="24"/>
        </w:rPr>
        <w:t xml:space="preserve">В конце нашего исследования видеться необходимость в оглашении выводов. Институт конфискации, как и институт реквизиции, имеет ряд проблем, требующих своего разрешения. </w:t>
      </w:r>
      <w:r>
        <w:rPr>
          <w:rFonts w:ascii="Times New Roman" w:hAnsi="Times New Roman" w:cs="Times New Roman"/>
          <w:iCs/>
          <w:sz w:val="24"/>
          <w:szCs w:val="24"/>
        </w:rPr>
        <w:lastRenderedPageBreak/>
        <w:t>Предложенные нами пути решения проблем и устранения противоречий в законодательстве РФ приведут к гармонизации и согласованности гражданское и земельное законодательство РФ. Однако стоит помнить о том, что конфискация и реквизиция как меры принудительного изъятия земельного участка у собственника должны применяться лишь в исключительных и законных случаях, и не использоваться в целях недобросовестного лишения собственника его прав на землю, даже временно (в случае реквизиции).</w:t>
      </w:r>
    </w:p>
    <w:p w14:paraId="20D5371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
          <w:sz w:val="24"/>
          <w:szCs w:val="24"/>
        </w:rPr>
      </w:pPr>
    </w:p>
    <w:p w14:paraId="2EAED10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Список используемой литературы:</w:t>
      </w:r>
    </w:p>
    <w:p w14:paraId="039606C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rPr>
        <w:tab/>
        <w:t>Гражданский кодекс Российской Федерации (часть первая) от 30 ноября 1994 г. № 51-ФЗ // Собрание законодательства РФ. - 1994. - № 32. - Ст. 3301.</w:t>
      </w:r>
    </w:p>
    <w:p w14:paraId="2D8F0F8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w:t>
      </w:r>
      <w:r>
        <w:rPr>
          <w:rFonts w:ascii="Times New Roman" w:hAnsi="Times New Roman" w:cs="Times New Roman"/>
          <w:sz w:val="24"/>
          <w:szCs w:val="24"/>
        </w:rPr>
        <w:tab/>
        <w:t>Земельный кодекс Российской Федерации от 25.10.2001 № 136-ФЗ // Собрание законодательства РФ. - 2001. - № 44. - Ст. 4147.</w:t>
      </w:r>
    </w:p>
    <w:p w14:paraId="64549FD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w:t>
      </w:r>
      <w:r>
        <w:rPr>
          <w:rFonts w:ascii="Times New Roman" w:hAnsi="Times New Roman" w:cs="Times New Roman"/>
          <w:sz w:val="24"/>
          <w:szCs w:val="24"/>
        </w:rPr>
        <w:tab/>
        <w:t>Волкова М.А., Стародумова С.Ю. Вещные права: современное состояние и перспективы развития  //Актуальные проблемы российского законодательства. 2015. № 9. С. 121-131.</w:t>
      </w:r>
    </w:p>
    <w:p w14:paraId="7C3054E2" w14:textId="77777777" w:rsidR="00DB36FA" w:rsidRDefault="001B6C3B" w:rsidP="00DB36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4.</w:t>
      </w:r>
      <w:r>
        <w:rPr>
          <w:rFonts w:ascii="Times New Roman" w:hAnsi="Times New Roman" w:cs="Times New Roman"/>
          <w:sz w:val="24"/>
          <w:szCs w:val="24"/>
        </w:rPr>
        <w:tab/>
        <w:t>Ленковская Р.Р., Трофимова И.А.  Особенности приобретения права частной собственности на землю // Актуальные проблемы российского законодательства. 2016. № 14. С. 104-111.</w:t>
      </w:r>
    </w:p>
    <w:p w14:paraId="0554DCB9" w14:textId="35F73CE8" w:rsidR="00DB36FA" w:rsidRPr="00DB36FA" w:rsidRDefault="00DB36FA" w:rsidP="00DB36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5. </w:t>
      </w:r>
      <w:r w:rsidRPr="00DB36FA">
        <w:rPr>
          <w:rFonts w:ascii="Times New Roman" w:hAnsi="Times New Roman" w:cs="Times New Roman"/>
          <w:sz w:val="24"/>
          <w:szCs w:val="24"/>
        </w:rPr>
        <w:t>Поленов Р.В. Порядок заключения соглашения о разделе продукции // Власть Закона. - 2019. - № 1. - С. 240-247.</w:t>
      </w:r>
    </w:p>
    <w:p w14:paraId="65F36ED6" w14:textId="35C649BF" w:rsidR="001B6C3B" w:rsidRDefault="00DB36FA"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6</w:t>
      </w:r>
      <w:r w:rsidR="001B6C3B">
        <w:rPr>
          <w:rFonts w:ascii="Times New Roman" w:hAnsi="Times New Roman" w:cs="Times New Roman"/>
          <w:sz w:val="24"/>
          <w:szCs w:val="24"/>
        </w:rPr>
        <w:t>.</w:t>
      </w:r>
      <w:r w:rsidR="001B6C3B">
        <w:rPr>
          <w:rFonts w:ascii="Times New Roman" w:hAnsi="Times New Roman" w:cs="Times New Roman"/>
          <w:sz w:val="24"/>
          <w:szCs w:val="24"/>
        </w:rPr>
        <w:tab/>
        <w:t>Чесовской, Е.И. Судебная защита прав участников земельных отношений /Е. Чесовской. //Российская юстиция. -2012. - № 6. - С. 24 -25</w:t>
      </w:r>
    </w:p>
    <w:p w14:paraId="46EFE88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sectPr w:rsidR="001B6C3B">
          <w:footnotePr>
            <w:numRestart w:val="eachPage"/>
          </w:footnotePr>
          <w:pgSz w:w="11906" w:h="16838"/>
          <w:pgMar w:top="1134" w:right="1134" w:bottom="1134" w:left="1134" w:header="709" w:footer="709" w:gutter="0"/>
          <w:cols w:space="720"/>
        </w:sectPr>
      </w:pPr>
    </w:p>
    <w:p w14:paraId="02EEB8AE"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rFonts w:ascii="Times New Roman" w:hAnsi="Times New Roman" w:cs="Times New Roman"/>
          <w:sz w:val="24"/>
          <w:szCs w:val="24"/>
        </w:rPr>
      </w:pPr>
      <w:r>
        <w:rPr>
          <w:rFonts w:ascii="Times New Roman" w:hAnsi="Times New Roman" w:cs="Times New Roman"/>
          <w:sz w:val="24"/>
          <w:szCs w:val="24"/>
        </w:rPr>
        <w:lastRenderedPageBreak/>
        <w:t>УДК 347.15</w:t>
      </w:r>
    </w:p>
    <w:p w14:paraId="1B2FAB94"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rFonts w:ascii="Times New Roman" w:hAnsi="Times New Roman" w:cs="Times New Roman"/>
          <w:sz w:val="24"/>
          <w:szCs w:val="24"/>
        </w:rPr>
      </w:pPr>
    </w:p>
    <w:p w14:paraId="0ED6015F"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rFonts w:ascii="Times New Roman" w:hAnsi="Times New Roman" w:cs="Times New Roman"/>
          <w:sz w:val="24"/>
          <w:szCs w:val="24"/>
        </w:rPr>
      </w:pPr>
      <w:r>
        <w:rPr>
          <w:rFonts w:ascii="Times New Roman" w:hAnsi="Times New Roman" w:cs="Times New Roman"/>
          <w:sz w:val="24"/>
          <w:szCs w:val="24"/>
        </w:rPr>
        <w:t>Мышов Сергей Русланович</w:t>
      </w:r>
    </w:p>
    <w:p w14:paraId="42FF5142"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rFonts w:ascii="Times New Roman" w:hAnsi="Times New Roman" w:cs="Times New Roman"/>
          <w:sz w:val="24"/>
          <w:szCs w:val="24"/>
        </w:rPr>
      </w:pPr>
      <w:r>
        <w:rPr>
          <w:rFonts w:ascii="Times New Roman" w:hAnsi="Times New Roman" w:cs="Times New Roman"/>
          <w:sz w:val="24"/>
          <w:szCs w:val="24"/>
        </w:rPr>
        <w:t>Myshow Sergei Ruslanovich</w:t>
      </w:r>
    </w:p>
    <w:p w14:paraId="57DD3036"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rFonts w:ascii="Times New Roman" w:hAnsi="Times New Roman" w:cs="Times New Roman"/>
          <w:sz w:val="24"/>
          <w:szCs w:val="24"/>
        </w:rPr>
      </w:pPr>
      <w:r>
        <w:rPr>
          <w:rFonts w:ascii="Times New Roman" w:hAnsi="Times New Roman" w:cs="Times New Roman"/>
          <w:sz w:val="24"/>
          <w:szCs w:val="24"/>
        </w:rPr>
        <w:t>«Кубанский государственный аграрный университет</w:t>
      </w:r>
    </w:p>
    <w:p w14:paraId="5B8F5C49"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rFonts w:ascii="Times New Roman" w:hAnsi="Times New Roman" w:cs="Times New Roman"/>
          <w:sz w:val="24"/>
          <w:szCs w:val="24"/>
        </w:rPr>
      </w:pPr>
      <w:r>
        <w:rPr>
          <w:rFonts w:ascii="Times New Roman" w:hAnsi="Times New Roman" w:cs="Times New Roman"/>
          <w:sz w:val="24"/>
          <w:szCs w:val="24"/>
        </w:rPr>
        <w:t>им. И.Т. Трубилина»</w:t>
      </w:r>
    </w:p>
    <w:p w14:paraId="25D4401A"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rFonts w:ascii="Times New Roman" w:hAnsi="Times New Roman" w:cs="Times New Roman"/>
          <w:sz w:val="24"/>
          <w:szCs w:val="24"/>
        </w:rPr>
      </w:pPr>
      <w:r>
        <w:rPr>
          <w:rFonts w:ascii="Times New Roman" w:hAnsi="Times New Roman" w:cs="Times New Roman"/>
          <w:sz w:val="24"/>
          <w:szCs w:val="24"/>
        </w:rPr>
        <w:t>Российская Федерация, г. Краснодар</w:t>
      </w:r>
    </w:p>
    <w:p w14:paraId="5AABE848"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rFonts w:ascii="Times New Roman" w:hAnsi="Times New Roman" w:cs="Times New Roman"/>
          <w:sz w:val="24"/>
          <w:szCs w:val="24"/>
        </w:rPr>
      </w:pPr>
      <w:r>
        <w:rPr>
          <w:rFonts w:ascii="Times New Roman" w:hAnsi="Times New Roman" w:cs="Times New Roman"/>
          <w:sz w:val="24"/>
          <w:szCs w:val="24"/>
          <w:lang w:val="en-US"/>
        </w:rPr>
        <w:t>Myshow</w:t>
      </w:r>
      <w:r w:rsidRPr="00430C1C">
        <w:rPr>
          <w:rFonts w:ascii="Times New Roman" w:hAnsi="Times New Roman" w:cs="Times New Roman"/>
          <w:sz w:val="24"/>
          <w:szCs w:val="24"/>
        </w:rPr>
        <w:t xml:space="preserve"> </w:t>
      </w:r>
      <w:r>
        <w:rPr>
          <w:rFonts w:ascii="Times New Roman" w:hAnsi="Times New Roman" w:cs="Times New Roman"/>
          <w:sz w:val="24"/>
          <w:szCs w:val="24"/>
          <w:lang w:val="en-US"/>
        </w:rPr>
        <w:t>Sergei</w:t>
      </w:r>
      <w:r w:rsidRPr="00430C1C">
        <w:rPr>
          <w:rFonts w:ascii="Times New Roman" w:hAnsi="Times New Roman" w:cs="Times New Roman"/>
          <w:sz w:val="24"/>
          <w:szCs w:val="24"/>
        </w:rPr>
        <w:t xml:space="preserve"> </w:t>
      </w:r>
      <w:r>
        <w:rPr>
          <w:rFonts w:ascii="Times New Roman" w:hAnsi="Times New Roman" w:cs="Times New Roman"/>
          <w:sz w:val="24"/>
          <w:szCs w:val="24"/>
          <w:lang w:val="en-US"/>
        </w:rPr>
        <w:t>Ruslanovich</w:t>
      </w:r>
    </w:p>
    <w:p w14:paraId="0FFAECE6"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rFonts w:ascii="Times New Roman" w:hAnsi="Times New Roman" w:cs="Times New Roman"/>
          <w:sz w:val="24"/>
          <w:szCs w:val="24"/>
          <w:lang w:val="en-US"/>
        </w:rPr>
      </w:pPr>
      <w:r>
        <w:rPr>
          <w:rFonts w:ascii="Times New Roman" w:hAnsi="Times New Roman" w:cs="Times New Roman"/>
          <w:sz w:val="24"/>
          <w:szCs w:val="24"/>
          <w:lang w:val="en-US"/>
        </w:rPr>
        <w:t>"Kuban State Agrarian University</w:t>
      </w:r>
    </w:p>
    <w:p w14:paraId="285EE5C2"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rFonts w:ascii="Times New Roman" w:hAnsi="Times New Roman" w:cs="Times New Roman"/>
          <w:sz w:val="24"/>
          <w:szCs w:val="24"/>
          <w:lang w:val="en-US"/>
        </w:rPr>
      </w:pPr>
      <w:r>
        <w:rPr>
          <w:rFonts w:ascii="Times New Roman" w:hAnsi="Times New Roman" w:cs="Times New Roman"/>
          <w:sz w:val="24"/>
          <w:szCs w:val="24"/>
          <w:lang w:val="en-US"/>
        </w:rPr>
        <w:t>them. I.T. Trubilina "</w:t>
      </w:r>
    </w:p>
    <w:p w14:paraId="5BA111C6"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rFonts w:ascii="Times New Roman" w:hAnsi="Times New Roman" w:cs="Times New Roman"/>
          <w:sz w:val="24"/>
          <w:szCs w:val="24"/>
          <w:lang w:val="en-US"/>
        </w:rPr>
      </w:pPr>
      <w:r>
        <w:rPr>
          <w:rFonts w:ascii="Times New Roman" w:hAnsi="Times New Roman" w:cs="Times New Roman"/>
          <w:sz w:val="24"/>
          <w:szCs w:val="24"/>
          <w:lang w:val="en-US"/>
        </w:rPr>
        <w:t xml:space="preserve">Russian Federation, Krasnodar </w:t>
      </w:r>
    </w:p>
    <w:p w14:paraId="4D33D203"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rFonts w:ascii="Times New Roman" w:hAnsi="Times New Roman" w:cs="Times New Roman"/>
          <w:sz w:val="24"/>
          <w:szCs w:val="24"/>
        </w:rPr>
      </w:pPr>
      <w:r>
        <w:rPr>
          <w:rFonts w:ascii="Times New Roman" w:hAnsi="Times New Roman" w:cs="Times New Roman"/>
          <w:sz w:val="24"/>
          <w:szCs w:val="24"/>
          <w:lang w:val="en-US"/>
        </w:rPr>
        <w:t>mishovserg</w:t>
      </w:r>
      <w:r>
        <w:rPr>
          <w:rFonts w:ascii="Times New Roman" w:hAnsi="Times New Roman" w:cs="Times New Roman"/>
          <w:sz w:val="24"/>
          <w:szCs w:val="24"/>
        </w:rPr>
        <w:t>@</w:t>
      </w:r>
      <w:r>
        <w:rPr>
          <w:rFonts w:ascii="Times New Roman" w:hAnsi="Times New Roman" w:cs="Times New Roman"/>
          <w:sz w:val="24"/>
          <w:szCs w:val="24"/>
          <w:lang w:val="en-US"/>
        </w:rPr>
        <w:t>gmail</w:t>
      </w:r>
      <w:r>
        <w:rPr>
          <w:rFonts w:ascii="Times New Roman" w:hAnsi="Times New Roman" w:cs="Times New Roman"/>
          <w:sz w:val="24"/>
          <w:szCs w:val="24"/>
        </w:rPr>
        <w:t>.</w:t>
      </w:r>
      <w:r>
        <w:rPr>
          <w:rFonts w:ascii="Times New Roman" w:hAnsi="Times New Roman" w:cs="Times New Roman"/>
          <w:sz w:val="24"/>
          <w:szCs w:val="24"/>
          <w:lang w:val="en-US"/>
        </w:rPr>
        <w:t>com</w:t>
      </w:r>
    </w:p>
    <w:p w14:paraId="580CAB4F"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rFonts w:ascii="Times New Roman" w:hAnsi="Times New Roman" w:cs="Times New Roman"/>
          <w:b/>
          <w:sz w:val="24"/>
          <w:szCs w:val="24"/>
        </w:rPr>
      </w:pPr>
    </w:p>
    <w:p w14:paraId="7914D6F4"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rFonts w:ascii="Times New Roman" w:hAnsi="Times New Roman" w:cs="Times New Roman"/>
          <w:b/>
          <w:sz w:val="24"/>
          <w:szCs w:val="24"/>
        </w:rPr>
      </w:pPr>
      <w:r>
        <w:rPr>
          <w:rFonts w:ascii="Times New Roman" w:hAnsi="Times New Roman" w:cs="Times New Roman"/>
          <w:b/>
          <w:sz w:val="24"/>
          <w:szCs w:val="24"/>
        </w:rPr>
        <w:t>РОЛЬ ЗАРУБЕЖНЫХ КОНЦЕПЦИЙ «ПРЕДВИДИМОСТЬ» И «ПРИЧИННАЯ СВЯЗЬ», КАК ОСНОВАНИЕ ГРАЖДАНСКО-ПРАВОВОЙ ОТВЕТСТВЕННОСТИ В РОССИЙСКОМ ЗАКОНОДАТЕЛЬСТВЕ</w:t>
      </w:r>
    </w:p>
    <w:p w14:paraId="2F874601"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rFonts w:ascii="Times New Roman" w:hAnsi="Times New Roman" w:cs="Times New Roman"/>
          <w:b/>
          <w:sz w:val="24"/>
          <w:szCs w:val="24"/>
        </w:rPr>
      </w:pPr>
    </w:p>
    <w:p w14:paraId="73955579"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rFonts w:ascii="Times New Roman" w:hAnsi="Times New Roman" w:cs="Times New Roman"/>
          <w:b/>
          <w:sz w:val="24"/>
          <w:szCs w:val="24"/>
          <w:lang w:val="en-US"/>
        </w:rPr>
      </w:pPr>
      <w:r>
        <w:rPr>
          <w:rFonts w:ascii="Times New Roman" w:hAnsi="Times New Roman" w:cs="Times New Roman"/>
          <w:b/>
          <w:sz w:val="24"/>
          <w:szCs w:val="24"/>
          <w:lang w:val="en-US"/>
        </w:rPr>
        <w:t>THE ROLE OF FOREIGN CONCEPTS OF "FORESIGHT" AND "CAUSATION" AS THE BASIS OF CIVIL LIABILITY IN RUSSIAN LEGISLATION</w:t>
      </w:r>
    </w:p>
    <w:p w14:paraId="42FCFD3D"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rFonts w:ascii="Times New Roman" w:hAnsi="Times New Roman" w:cs="Times New Roman"/>
          <w:sz w:val="24"/>
          <w:szCs w:val="24"/>
          <w:lang w:val="en-US"/>
        </w:rPr>
      </w:pPr>
    </w:p>
    <w:p w14:paraId="7E8BF7C8"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shd w:val="clear" w:color="auto" w:fill="FFFFFF"/>
        </w:rPr>
      </w:pPr>
      <w:r>
        <w:rPr>
          <w:rFonts w:ascii="Times New Roman" w:hAnsi="Times New Roman" w:cs="Times New Roman"/>
          <w:i/>
          <w:sz w:val="24"/>
          <w:szCs w:val="24"/>
        </w:rPr>
        <w:t xml:space="preserve">Анотация: </w:t>
      </w:r>
      <w:r>
        <w:rPr>
          <w:rFonts w:ascii="Times New Roman" w:hAnsi="Times New Roman" w:cs="Times New Roman"/>
          <w:sz w:val="24"/>
          <w:szCs w:val="24"/>
        </w:rPr>
        <w:t xml:space="preserve">Понятие причинной связи является дискуссионным в науке гражданского права. Для наступления гражданско-правовой ответственности необходимым условием является наличие причинной связи между противоправным поведением правонарушителя и наступившим вредным результатом. </w:t>
      </w:r>
      <w:r>
        <w:rPr>
          <w:rFonts w:ascii="Times New Roman" w:hAnsi="Times New Roman" w:cs="Times New Roman"/>
          <w:sz w:val="24"/>
          <w:szCs w:val="24"/>
          <w:shd w:val="clear" w:color="auto" w:fill="FFFFFF"/>
        </w:rPr>
        <w:t xml:space="preserve">Проблема причинно-следственной связи является одной из самых сложных в российском гражданском праве. </w:t>
      </w:r>
    </w:p>
    <w:p w14:paraId="5AAD9FB4"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i/>
          <w:sz w:val="24"/>
          <w:szCs w:val="24"/>
          <w:shd w:val="clear" w:color="auto" w:fill="FFFFFF"/>
        </w:rPr>
      </w:pPr>
      <w:r>
        <w:rPr>
          <w:rFonts w:ascii="Times New Roman" w:hAnsi="Times New Roman" w:cs="Times New Roman"/>
          <w:i/>
          <w:sz w:val="24"/>
          <w:szCs w:val="24"/>
          <w:shd w:val="clear" w:color="auto" w:fill="FFFFFF"/>
        </w:rPr>
        <w:t xml:space="preserve">Ключевые слова: </w:t>
      </w:r>
      <w:r>
        <w:rPr>
          <w:rFonts w:ascii="Times New Roman" w:hAnsi="Times New Roman" w:cs="Times New Roman"/>
          <w:sz w:val="24"/>
          <w:szCs w:val="24"/>
        </w:rPr>
        <w:t xml:space="preserve">Причинная связь, условие, ответственность, убытки, размер, доказательства. </w:t>
      </w:r>
    </w:p>
    <w:p w14:paraId="51D49388"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i/>
          <w:sz w:val="24"/>
          <w:szCs w:val="24"/>
          <w:lang w:val="en-US"/>
        </w:rPr>
      </w:pPr>
      <w:r>
        <w:rPr>
          <w:rFonts w:ascii="Times New Roman" w:hAnsi="Times New Roman" w:cs="Times New Roman"/>
          <w:i/>
          <w:sz w:val="24"/>
          <w:szCs w:val="24"/>
          <w:lang w:val="en-US"/>
        </w:rPr>
        <w:t>Resume:</w:t>
      </w:r>
      <w:r>
        <w:rPr>
          <w:rFonts w:ascii="Times New Roman" w:hAnsi="Times New Roman" w:cs="Times New Roman"/>
          <w:sz w:val="24"/>
          <w:szCs w:val="24"/>
          <w:lang w:val="en-US"/>
        </w:rPr>
        <w:t xml:space="preserve"> </w:t>
      </w:r>
      <w:r>
        <w:rPr>
          <w:rFonts w:ascii="Times New Roman" w:hAnsi="Times New Roman" w:cs="Times New Roman"/>
          <w:sz w:val="24"/>
          <w:szCs w:val="24"/>
          <w:shd w:val="clear" w:color="auto" w:fill="FFFFFF"/>
          <w:lang w:val="en-US"/>
        </w:rPr>
        <w:t xml:space="preserve">The concept of causation is debatable in the science of civil law. For the onset of civil liability, a necessary condition is the presence of a causal relationship between the illegal behavior of the offender and the resulting harmful result. The problem of causation is one of the most complex in Russian civil law. </w:t>
      </w:r>
    </w:p>
    <w:p w14:paraId="632CABC2"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lang w:val="en-US"/>
        </w:rPr>
      </w:pPr>
    </w:p>
    <w:p w14:paraId="43C62C22"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Рассмотрение вопроса о средствах правовой защиты имеет решающее значение для гражданских судебных органов, поскольку оно дает критическое представление о конкретных правовых нормах и механизмах. С теоретической точки зрения понимание принципов, регулирующих выбор средств правовой защиты и методов количественной оценки ущерба, многое говорит о природе процесса общего права.</w:t>
      </w:r>
    </w:p>
    <w:p w14:paraId="2497FB74"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Так, одним из условий ответственности является наличие причинной связи между нарушением и наступившими негативными последствиями.</w:t>
      </w:r>
    </w:p>
    <w:p w14:paraId="75966894"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В свою очередь сама причинная связь приобретает характер необходимого условия договорной ответственности лишь тогда, когда речь идет о возмещении убытков.</w:t>
      </w:r>
    </w:p>
    <w:p w14:paraId="2636F4FF"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В современной науке многие ученые рассматривают причинную связь, как критерий возмещения договорных убытков с применением термина «предвидимость» убытков на момент заключения договора.</w:t>
      </w:r>
    </w:p>
    <w:p w14:paraId="25619E99"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Из содержания статьи 74 Конвенции Организации Объединенных Наций о договорах международной купли-продажи товаров (Заключена в г. Вене 11 апреля 1980 г.)</w:t>
      </w:r>
      <w:r>
        <w:rPr>
          <w:rStyle w:val="a7"/>
          <w:rFonts w:ascii="Times New Roman" w:hAnsi="Times New Roman" w:cs="Times New Roman"/>
          <w:sz w:val="24"/>
          <w:szCs w:val="24"/>
        </w:rPr>
        <w:footnoteReference w:id="240"/>
      </w:r>
      <w:r>
        <w:rPr>
          <w:rFonts w:ascii="Times New Roman" w:hAnsi="Times New Roman" w:cs="Times New Roman"/>
          <w:sz w:val="24"/>
          <w:szCs w:val="24"/>
        </w:rPr>
        <w:t xml:space="preserve"> следует, что убытки за нарушение договора не могут превышать ущерба, который нарушившая договор сторона предвидела или должна была предвидеть в момент заключения договора как возможное последствие его нарушения, учитывая обстоятельства, о которых она в то время знала или должна была знать. Однако, несмотря на отсутствие указаний на причинную связь </w:t>
      </w:r>
      <w:r>
        <w:rPr>
          <w:rFonts w:ascii="Times New Roman" w:hAnsi="Times New Roman" w:cs="Times New Roman"/>
          <w:sz w:val="24"/>
          <w:szCs w:val="24"/>
        </w:rPr>
        <w:lastRenderedPageBreak/>
        <w:t>между нарушением договора и убытками как условие привлечения к ответственности, на наш взгляд, еще не означает, что причинная связь в данном случае не имеет правового значения.</w:t>
      </w:r>
    </w:p>
    <w:p w14:paraId="2D0E23C2"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Подобные нормы прослеживаются во многих международно-правовых актах. Так, к примеру, статья 7.4.4 Принципов международных коммерческих договоров</w:t>
      </w:r>
      <w:r>
        <w:rPr>
          <w:rStyle w:val="a7"/>
          <w:rFonts w:ascii="Times New Roman" w:hAnsi="Times New Roman" w:cs="Times New Roman"/>
          <w:sz w:val="24"/>
          <w:szCs w:val="24"/>
        </w:rPr>
        <w:footnoteReference w:id="241"/>
      </w:r>
      <w:r>
        <w:rPr>
          <w:rFonts w:ascii="Times New Roman" w:hAnsi="Times New Roman" w:cs="Times New Roman"/>
          <w:sz w:val="24"/>
          <w:szCs w:val="24"/>
        </w:rPr>
        <w:t xml:space="preserve"> говорит о том, что неисполнившая сторона отвечает только за ущерб, который она предвидела или могла разумно предвидеть при заключении договора как вероятное последствие его неисполнения.</w:t>
      </w:r>
    </w:p>
    <w:p w14:paraId="127E8A98"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 xml:space="preserve">Французским гражданским кодексом 1804 года впервые законодательно было закреплено </w:t>
      </w:r>
      <w:r>
        <w:rPr>
          <w:rFonts w:ascii="Times New Roman" w:hAnsi="Times New Roman" w:cs="Times New Roman"/>
          <w:sz w:val="24"/>
          <w:szCs w:val="24"/>
          <w:shd w:val="clear" w:color="auto" w:fill="FFFFFF"/>
        </w:rPr>
        <w:t xml:space="preserve">условие о предвидимости взыскиваемых убытков. Согласно статье 1150, </w:t>
      </w:r>
      <w:r>
        <w:rPr>
          <w:rFonts w:ascii="Times New Roman" w:hAnsi="Times New Roman" w:cs="Times New Roman"/>
          <w:sz w:val="24"/>
          <w:szCs w:val="24"/>
        </w:rPr>
        <w:t>должник отвечает лишь за убытки, которые были предвидены или могли быть предвидены во время заключения договора, кроме тех случаев, когда обязательство не было исполнено вследствие умысла должника, а также, в силу статья 1151, убытки должны включать в себя в отношении потери, понесенной кредитором, и выгоды, которой он лишился, лишь то, что является непосредственным и прямым следствием невыполнения соглашения.</w:t>
      </w:r>
    </w:p>
    <w:p w14:paraId="1B9796C7"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Применяя статью 1151 Французского гражданского кодекса, кассационный суд так описал причинную связь: своими действиями нарушитель «отнял шанс» у потерпевшей стороны избежать убытков.</w:t>
      </w:r>
      <w:r>
        <w:rPr>
          <w:rStyle w:val="a7"/>
          <w:rFonts w:ascii="Times New Roman" w:hAnsi="Times New Roman" w:cs="Times New Roman"/>
          <w:sz w:val="24"/>
          <w:szCs w:val="24"/>
        </w:rPr>
        <w:footnoteReference w:id="242"/>
      </w:r>
    </w:p>
    <w:p w14:paraId="2180148E"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shd w:val="clear" w:color="auto" w:fill="FFFFFF"/>
        </w:rPr>
        <w:t>«Предвидимость», как условие взыскания убытков предусматривалась в проекте Гражданского уложения Российской империи. В силу статьи 1655 проекта Гражданского уложения кредитору должны были возмещаться те убытки, которые «непосредственно вытекают из неисполнения должником обязательства и которые могли быть предвидены при заключении договора»</w:t>
      </w:r>
      <w:r>
        <w:rPr>
          <w:rStyle w:val="a7"/>
          <w:rFonts w:ascii="Times New Roman" w:hAnsi="Times New Roman" w:cs="Times New Roman"/>
          <w:sz w:val="24"/>
          <w:szCs w:val="24"/>
          <w:shd w:val="clear" w:color="auto" w:fill="FFFFFF"/>
        </w:rPr>
        <w:footnoteReference w:id="243"/>
      </w:r>
      <w:r>
        <w:rPr>
          <w:rFonts w:ascii="Times New Roman" w:hAnsi="Times New Roman" w:cs="Times New Roman"/>
          <w:sz w:val="24"/>
          <w:szCs w:val="24"/>
          <w:shd w:val="clear" w:color="auto" w:fill="FFFFFF"/>
        </w:rPr>
        <w:t>.</w:t>
      </w:r>
    </w:p>
    <w:p w14:paraId="49A15145"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Вместе с тем в первоначальной редакции Концепции развития гражданского законодательства РФ, одобренной решением Совета при Президенте РФ по кодификации и совершенствованию гражданского законодательства от 07 октября 2009 года</w:t>
      </w:r>
      <w:r>
        <w:rPr>
          <w:rStyle w:val="a7"/>
          <w:rFonts w:ascii="Times New Roman" w:hAnsi="Times New Roman" w:cs="Times New Roman"/>
          <w:sz w:val="24"/>
          <w:szCs w:val="24"/>
        </w:rPr>
        <w:footnoteReference w:id="244"/>
      </w:r>
      <w:r>
        <w:rPr>
          <w:rFonts w:ascii="Times New Roman" w:hAnsi="Times New Roman" w:cs="Times New Roman"/>
          <w:sz w:val="24"/>
          <w:szCs w:val="24"/>
        </w:rPr>
        <w:t xml:space="preserve">, была заложена идея, о внедрении по аналогии с Венской конвенцией в главу 25 Гражданского кодекса РФ категории предвидимости. В частности, она содержала положения о доказывании размера убытков «с разумной степенью достоверности» (п. 5.2 раздела V), а не их точного размера. Для облегчения взыскания убытков авторы Концепции предлагали ввести нормы о конкретных и абстрактных убытках (п. 5.3 раздела V). Следует отметить, что предвидимость несла в себе функцию не конкурировать с причинной связью, а дополнять ее, выступая одним из критериев ограничения размера убытка. </w:t>
      </w:r>
    </w:p>
    <w:p w14:paraId="4CB79B0F"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Идеи, заложенные в Концепции, были учтены при реформировании гражданского законодательства и нашли свое отражение в нормах гражданского законодательства.</w:t>
      </w:r>
    </w:p>
    <w:p w14:paraId="3AC463DE"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В пункте 5 статьи 393 ГК РФ нашла свое воплощение норма о разумном стандарте доказывания размера убытков, а в статье 393.1 ГК РФ были закреплены абстрактный и конкретный способы исчисления убытков.</w:t>
      </w:r>
    </w:p>
    <w:p w14:paraId="1B381830"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 xml:space="preserve">Концепция предлагала закрепить правило предвидимости договорных убытков следующим образом: «Должник, нарушивший договор, не должен возмещать ущерб, который он не предвидел или не должен был разумно предвидеть при заключении договора как вероятное последствие его нарушения» (подп. «б» п. 5.2 раздела V). Однако при внесении изменений в ГК РФ от этой нормы отказались. </w:t>
      </w:r>
    </w:p>
    <w:p w14:paraId="5204A96D"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Мы полагаем, что при разработке Концепции, авторы предлагали позаимствовать нормы Французского гражданского кодекса</w:t>
      </w:r>
      <w:r>
        <w:rPr>
          <w:rStyle w:val="a7"/>
          <w:rFonts w:ascii="Times New Roman" w:hAnsi="Times New Roman" w:cs="Times New Roman"/>
          <w:sz w:val="24"/>
          <w:szCs w:val="24"/>
        </w:rPr>
        <w:footnoteReference w:id="245"/>
      </w:r>
      <w:r>
        <w:rPr>
          <w:rFonts w:ascii="Times New Roman" w:hAnsi="Times New Roman" w:cs="Times New Roman"/>
          <w:sz w:val="24"/>
          <w:szCs w:val="24"/>
        </w:rPr>
        <w:t xml:space="preserve">. Однако нормы Французского гражданского </w:t>
      </w:r>
      <w:r>
        <w:rPr>
          <w:rFonts w:ascii="Times New Roman" w:hAnsi="Times New Roman" w:cs="Times New Roman"/>
          <w:sz w:val="24"/>
          <w:szCs w:val="24"/>
        </w:rPr>
        <w:lastRenderedPageBreak/>
        <w:t>кодекса отличаются от ГК РФ (статья 393) тем, что во Французском законодательстве правило причинной связи не ограничивается лишь указанием на необходимость причинной связи, а указывает на ее характер: убытки должны быть непосредственным и прямым следствием нарушения договора.</w:t>
      </w:r>
      <w:r>
        <w:rPr>
          <w:rStyle w:val="a7"/>
          <w:rFonts w:ascii="Times New Roman" w:hAnsi="Times New Roman" w:cs="Times New Roman"/>
          <w:sz w:val="24"/>
          <w:szCs w:val="24"/>
        </w:rPr>
        <w:footnoteReference w:id="246"/>
      </w:r>
    </w:p>
    <w:p w14:paraId="17E49916"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 xml:space="preserve">Термин «причинная связь» во многих иностранных государствах, а также, как мы уже указывали ранее международном частном праве, подменены термином «предвидимости ущерба». </w:t>
      </w:r>
    </w:p>
    <w:p w14:paraId="37D19658"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 xml:space="preserve">Согласно статьи 1613 </w:t>
      </w:r>
      <w:r>
        <w:rPr>
          <w:rFonts w:ascii="Times New Roman" w:hAnsi="Times New Roman" w:cs="Times New Roman"/>
          <w:bCs/>
          <w:sz w:val="24"/>
          <w:szCs w:val="24"/>
          <w:shd w:val="clear" w:color="auto" w:fill="FFFFFF"/>
        </w:rPr>
        <w:t>Гражданского кодекса Квебека</w:t>
      </w:r>
      <w:r>
        <w:rPr>
          <w:rFonts w:ascii="Times New Roman" w:hAnsi="Times New Roman" w:cs="Times New Roman"/>
          <w:sz w:val="24"/>
          <w:szCs w:val="24"/>
        </w:rPr>
        <w:t xml:space="preserve"> (Канада), в договорных вопросах должник несет ответственность только за ущерб, который был предвиден или предвидим в момент заключения договора, если неисполнение обязательства не вытекает из преднамеренной или грубой вины с его стороны; даже в этом случае ущерб включает только то, что является непосредственным и прямым следствием неисполнения.</w:t>
      </w:r>
    </w:p>
    <w:p w14:paraId="7E816E07"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В странах с англо-американской системой права (Австралия, Соединенные Штаты Америки, Великобритания и т.д.) объем последствий, на которые распространяется ответственность лица, допустившего нарушение обязательства (прежде всего, договорного обязательства), ограничивается теми последствиями, которые указанное лицо могло и должно было предвидеть в момент заключения договора.</w:t>
      </w:r>
    </w:p>
    <w:p w14:paraId="46670E5C"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 xml:space="preserve">Кроме того, давая определение «предвидимость» хотелось бы обратить внимание на то, что предвидимость относится к характеру или типу ущерба, но не к его размеру, и, определяя, что будет представлять собой предвидимым, указывается со ссылкой на момент заключения договора и саму неисполнившую сторону. </w:t>
      </w:r>
    </w:p>
    <w:p w14:paraId="7A9EB729"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 xml:space="preserve">Более того, статья 74 Венской конвенции, раскрывает важные моменты для правильного определения и применения критерия предвидимости. Во-первых, речь идет об «ущербе: как возможном последствии нарушения договора». На наш взгляд, критерий предвидимости призван компенсировать действие критерия причинной связи, но не является средством для исчисления и оценки ущерба. Во-вторых, «ущерб: как последствие нарушения» включает в себя как убытки, естественно вытекающие из нарушения договора, то есть находящиеся в прямой причинной связи, так и имеющие косвенный или сопутствующий характер. В-третьих, «ущерб, который: сторона предвидела: как возможное последствие» свидетельствует, что степень вероятности наступления последствий нарушения должна носить всего лишь возможный характер. И закрепление того, что сторона должна всего лишь «предвидеть» такие «возможные» последствия, значительно, по мнению профессора А. Мэрфи, расширяет объем взыскиваемых истцом убытков по сравнению с правом Англии и США. В-четвертых, возможность предвидения определяется на момент заключения контракта, что отвечает подходам права Англии, США и Франции. Действительно, чем ближе этот момент ко времени нарушения договора, тем больше возникает возможностей предвидеть будущий возможный ущерб. </w:t>
      </w:r>
    </w:p>
    <w:p w14:paraId="35E594A2"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Э. Познер</w:t>
      </w:r>
      <w:r>
        <w:rPr>
          <w:rStyle w:val="a7"/>
          <w:rFonts w:ascii="Times New Roman" w:hAnsi="Times New Roman" w:cs="Times New Roman"/>
          <w:sz w:val="24"/>
          <w:szCs w:val="24"/>
        </w:rPr>
        <w:footnoteReference w:id="247"/>
      </w:r>
      <w:r>
        <w:rPr>
          <w:rFonts w:ascii="Times New Roman" w:hAnsi="Times New Roman" w:cs="Times New Roman"/>
          <w:sz w:val="24"/>
          <w:szCs w:val="24"/>
        </w:rPr>
        <w:t xml:space="preserve">, исследуя данный вопрос, указывал, что причинно-следственная связь не является важным понятием в англо-американском договорном праве. Отчасти это связано с тем, что понятие причинности охватывается другими договорными доктринами. Если лицо, давшее обещание, не может смягчить ущерб, то можно было бы сказать, что оно не причинило полного ущерба и, следовательно, не должно нести полной ответственности; но этот результат достигается путем применения доктрины смягчения ущерба, и отдельная «доктрина причинения вреда» не является необходимой, как это имеет место в деликтном праве. Только в нескольких случаях заключения договоров суды обсуждают причинно-следственную связь как отдельный вопрос. В этих случаях речь идет об обещателе, который имеет отдельные контракты с двумя разными нарушителями, причем оба нарушения являются достаточными, чтобы привести к некоторым или всем убыткам. Эти случаи не привлекли внимания ученых, </w:t>
      </w:r>
      <w:r>
        <w:rPr>
          <w:rFonts w:ascii="Times New Roman" w:hAnsi="Times New Roman" w:cs="Times New Roman"/>
          <w:sz w:val="24"/>
          <w:szCs w:val="24"/>
        </w:rPr>
        <w:lastRenderedPageBreak/>
        <w:t>вероятно, из-за их редкости. Доктрина деликта о непосредственной причинности имеет аналогию в доктрине Хэдли и доктрине «разумной уверенности». Все эти правила освобождают нарушителя от некоторой или всей ответственности, когда потеря жертвы не полностью связана с проступком обещателя.</w:t>
      </w:r>
    </w:p>
    <w:p w14:paraId="4383E4B1"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В свою очередь В.С. Белых считает, что «своеобразие англо-американского права в подходе к определению причинно-следственной обусловленности проявляется в установлении субъективного момента, а именно в установлении предвиденности возникновения ущерба стороной, нарушившей договор, а не направлено на установление объективного характера связи».</w:t>
      </w:r>
      <w:r>
        <w:rPr>
          <w:rStyle w:val="a7"/>
          <w:rFonts w:ascii="Times New Roman" w:hAnsi="Times New Roman" w:cs="Times New Roman"/>
          <w:sz w:val="24"/>
          <w:szCs w:val="24"/>
        </w:rPr>
        <w:footnoteReference w:id="248"/>
      </w:r>
      <w:r>
        <w:rPr>
          <w:rFonts w:ascii="Times New Roman" w:hAnsi="Times New Roman" w:cs="Times New Roman"/>
          <w:sz w:val="24"/>
          <w:szCs w:val="24"/>
        </w:rPr>
        <w:t xml:space="preserve"> Иначе говоря, причинная связь отражается через предвидимость.</w:t>
      </w:r>
    </w:p>
    <w:p w14:paraId="35E92BF9"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В Германии сформировался иной подход к возникновению ответственности, которая наступает в случае, когда нарушитель обязательства своим поведением существенно повысил объективную возможность возникновения причиненных убытков. Перед правоприменителем не ставится цели поиска объективно существующей причинной связи, достаточно установления факта повышения нарушителем объективной возможности возникновения убытков.</w:t>
      </w:r>
    </w:p>
    <w:p w14:paraId="4D48C8D9"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 xml:space="preserve">Также положения международного частного права о предвидимости убытков нашли применение в практике Международного коммерческого арбитражного суда при Торгово-промышленной палате Российской Федерации (МКАС). </w:t>
      </w:r>
    </w:p>
    <w:p w14:paraId="7C4DFB0E"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М.Г. Розенберг, комментируя решение МКАСа по одному из дел, указывает, что МКАС на основании предписаний Венской конвенции удовлетворил требования истца о возмещении ему убытков в виде разницы между стоимостью непоставленного в нарушение условий контракта товара по ценам сделок, совершенных истцом при закупке товара, и стоимостью, исчисленной по ценам, предусмотренным контрактом. При этом МКАС особо отметил, что возможность таких убытков ответчик должен был предвидеть в момент заключения контракта в качестве возможных неблагоприятных последствий нарушения своих обязательств. К тому же он не представил доказательств того, что у истца была возможность в момент осуществления сделок взамен приобрести товар на рынке по более дешевым ценам</w:t>
      </w:r>
      <w:r>
        <w:rPr>
          <w:rStyle w:val="a7"/>
          <w:rFonts w:ascii="Times New Roman" w:hAnsi="Times New Roman" w:cs="Times New Roman"/>
          <w:sz w:val="24"/>
          <w:szCs w:val="24"/>
        </w:rPr>
        <w:footnoteReference w:id="249"/>
      </w:r>
      <w:r>
        <w:rPr>
          <w:rFonts w:ascii="Times New Roman" w:hAnsi="Times New Roman" w:cs="Times New Roman"/>
          <w:sz w:val="24"/>
          <w:szCs w:val="24"/>
        </w:rPr>
        <w:t>.</w:t>
      </w:r>
    </w:p>
    <w:p w14:paraId="56A53A33"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Использование критерия предвидимости для определения того ущерба, который подлежит возмещению, позволяет, как представляется, с одной стороны, ограничить ответственность неисправного контрагента, но, с другой стороны, предусматривает достаточную защиту и пострадавшей стороне. Ведь если во время заключения договора кредитор известит должника о том, что нарушение причинит ему чрезвычайно большие убытки, то они будут возмещены даже в том случае, если и не являются прямым следствием нарушения, то есть носят косвенный, отдаленный характер.</w:t>
      </w:r>
    </w:p>
    <w:p w14:paraId="1BB6A8F2"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В целом, как подчеркивают исследователи, критерий предвидимости неисправной стороной возможного ущерба от нарушения договора должен быть необходимым условием для его возмещения, ибо позволяет защитить интересы пострадавшей стороны, которые находятся в сфере договора и из которых обе стороны исходили при его заключении и согласовании условий</w:t>
      </w:r>
      <w:r>
        <w:rPr>
          <w:rStyle w:val="a7"/>
          <w:rFonts w:ascii="Times New Roman" w:hAnsi="Times New Roman" w:cs="Times New Roman"/>
          <w:sz w:val="24"/>
          <w:szCs w:val="24"/>
        </w:rPr>
        <w:footnoteReference w:id="250"/>
      </w:r>
      <w:r>
        <w:rPr>
          <w:rFonts w:ascii="Times New Roman" w:hAnsi="Times New Roman" w:cs="Times New Roman"/>
          <w:sz w:val="24"/>
          <w:szCs w:val="24"/>
        </w:rPr>
        <w:t>.</w:t>
      </w:r>
    </w:p>
    <w:p w14:paraId="497C0D67"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shd w:val="clear" w:color="auto" w:fill="FFFFFF"/>
        </w:rPr>
        <w:t xml:space="preserve">Критерий предвидимости ущерба при определении размера договорных убытков в праве Англии и США может применяться только как дополнение к правилу о восстановлении такого положения потерпевшего, как если бы договор был исполнен. </w:t>
      </w:r>
    </w:p>
    <w:p w14:paraId="371AF8D1"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Впервые правило предвидимости было установлено в известном английском деле Hadley v. Baxendale</w:t>
      </w:r>
      <w:r>
        <w:rPr>
          <w:rFonts w:ascii="Times New Roman" w:hAnsi="Times New Roman" w:cs="Times New Roman"/>
          <w:sz w:val="24"/>
          <w:szCs w:val="24"/>
          <w:shd w:val="clear" w:color="auto" w:fill="FFFFFF"/>
        </w:rPr>
        <w:t xml:space="preserve"> (1854) – ведущий английский договор о праве. </w:t>
      </w:r>
      <w:r>
        <w:rPr>
          <w:rFonts w:ascii="Times New Roman" w:hAnsi="Times New Roman" w:cs="Times New Roman"/>
          <w:sz w:val="24"/>
          <w:szCs w:val="24"/>
        </w:rPr>
        <w:t xml:space="preserve">Он устанавливает ведущее правило для определения косвенных убытков от нарушения договора: нарушающая сторона </w:t>
      </w:r>
      <w:r>
        <w:rPr>
          <w:rFonts w:ascii="Times New Roman" w:hAnsi="Times New Roman" w:cs="Times New Roman"/>
          <w:sz w:val="24"/>
          <w:szCs w:val="24"/>
        </w:rPr>
        <w:lastRenderedPageBreak/>
        <w:t xml:space="preserve">несет ответственность за все убытки, которые договаривающиеся стороны должны были предвидеть, но не несет ответственности за любые убытки, которые нарушающая сторона не могла предвидеть в имеющейся информации ему. </w:t>
      </w:r>
    </w:p>
    <w:p w14:paraId="20C83FF2"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 xml:space="preserve">Истцы работали на мельнице, коленчатый вал паровой машины на мельнице сломался, в связи с чем, истцы наняли ответчика, чтобы отвезти сломанный коленчатый вал в ремонт и вернуть обратно. Ответчик не смог вернуть в указанный срок вал, в результате чего истцы потеряли бизнес. Хэдли подала в суд на прибыль, которую он потерял из-за поздней доставки Баксендейла, а присяжные присудили Хэдли убытки в размере 25 фунтов стерлингов. Баксендейл подал апелляцию, утверждая, что он не знал, что Хэдли понесет какой-либо конкретный ущерб по причине поздней доставки. </w:t>
      </w:r>
    </w:p>
    <w:p w14:paraId="3D49EE79"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 xml:space="preserve">Суд казначейства во главе с бароном сэр Эдвард Холл Олдерсоном отказался позволить Хедли восстановить потерянные прибыли, в этом случае, считая, что Баксендейл может нести ответственность только за убытки, которые, как правило, в обозримом будущем, или если Хэдли упомянул его особые обстоятельства вперед. </w:t>
      </w:r>
    </w:p>
    <w:p w14:paraId="584E5D57"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Суд заявил: «упущенная выгода здесь не может разумно рассматриваться как такое последствие нарушения договора, которое могло бы быть справедливо и разумно предусмотрено обеими сторонами, когда они заключали этот договор».</w:t>
      </w:r>
    </w:p>
    <w:p w14:paraId="515FB416"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shd w:val="clear" w:color="auto" w:fill="FFFFFF"/>
        </w:rPr>
      </w:pPr>
      <w:r>
        <w:rPr>
          <w:rFonts w:ascii="Times New Roman" w:hAnsi="Times New Roman" w:cs="Times New Roman"/>
          <w:sz w:val="24"/>
          <w:szCs w:val="24"/>
        </w:rPr>
        <w:t>Таким образом, правило Хэдли гласит, что обещатели не несут ответственности за убытки, которые не являются «предсказуемыми».</w:t>
      </w:r>
    </w:p>
    <w:p w14:paraId="5F8C95E5"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В прецеденте по делу Confos v. C. Czarnikow Ltd. 1969 году также подчеркивалось, что решающим для взыскания убытков является вопрос об информированности ответчика при заключении договора. Так, согласно материалам дела, Куфос зафрахтовал корабль (Герона II) из Чарникова, чтобы доставить 3000 тонн сахара в </w:t>
      </w:r>
      <w:hyperlink r:id="rId30" w:tooltip="Басра" w:history="1">
        <w:r>
          <w:rPr>
            <w:rStyle w:val="a9"/>
            <w:rFonts w:ascii="Times New Roman" w:hAnsi="Times New Roman" w:cs="Times New Roman"/>
            <w:sz w:val="24"/>
            <w:szCs w:val="24"/>
            <w:shd w:val="clear" w:color="auto" w:fill="FFFFFF"/>
          </w:rPr>
          <w:t>Басру</w:t>
        </w:r>
      </w:hyperlink>
      <w:r>
        <w:rPr>
          <w:rFonts w:ascii="Times New Roman" w:hAnsi="Times New Roman" w:cs="Times New Roman"/>
          <w:sz w:val="24"/>
          <w:szCs w:val="24"/>
          <w:shd w:val="clear" w:color="auto" w:fill="FFFFFF"/>
        </w:rPr>
        <w:t xml:space="preserve">. </w:t>
      </w:r>
      <w:r>
        <w:rPr>
          <w:rFonts w:ascii="Times New Roman" w:hAnsi="Times New Roman" w:cs="Times New Roman"/>
          <w:sz w:val="24"/>
          <w:szCs w:val="24"/>
        </w:rPr>
        <w:t>Он опоздал на девять дней.</w:t>
      </w:r>
      <w:r>
        <w:rPr>
          <w:rFonts w:ascii="Times New Roman" w:hAnsi="Times New Roman" w:cs="Times New Roman"/>
          <w:sz w:val="24"/>
          <w:szCs w:val="24"/>
          <w:shd w:val="clear" w:color="auto" w:fill="FFFFFF"/>
        </w:rPr>
        <w:t xml:space="preserve"> Цена на сахар упала. Куфос утверждал разницу в упущенной выгоде. Чаркинов знал, что есть рынок сахара, но Куфос не собирался его продавать сразу.</w:t>
      </w:r>
    </w:p>
    <w:p w14:paraId="2F5F4D3B"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Палата лордов сочла, что эта потеря не так уж и велика. Они заявили, что критерий отдаленности в контракте более узок, чем в деликте. В то время как в деликте может быть заявлен любой ущерб разумно предсказуемого вида, Лорд Рид постановил, что в договоре ответчик должен был понимать, что потеря «не маловероятна в результате нарушения договора». Более высокая степень вероятности необходима для того, чтобы потери были в созерцании сторон. Лорд Рид не одобрял суждения Асквита Эл-Джея в деле «Виктория прачечная против Ньюмена», в котором использовался термин «предвидимостья». Он подчеркнул, что будет «использовать слова» не маловероятно», как обозначающие степень вероятности, значительно меньшую, чем даже вероятность, но тем не менее, не очень необычную и легко предсказуемую. Он подчеркнул, что критерии деликта и договора весьма различны, исходя из того, что при наличии договора стороны уже имели возможность распределить свои обязательства. Поэтому критерий отдаленности должен быть менее щедрым, чем в случае деликта, когда косвенные убытки должны быть очень отдаленными, чтобы исключить компенсацию.</w:t>
      </w:r>
    </w:p>
    <w:p w14:paraId="76229E82"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В современных учениях сложился иной подход, который получил название договорного. Его основная идея заключается в том, что для определения предвидимости следует обращаться не к оценке знаний лица и вероятности наступления последствий, а к тому, приняло ли на себя лицо, нарушившее обязательство, ответственность за наступившие последствия. Выяснить, как стороны распределили риски, позволяют толкование договора и анализ поведения сторон.</w:t>
      </w:r>
    </w:p>
    <w:p w14:paraId="2927C568"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 xml:space="preserve">Подводя итоги в рамках данной статьи, хочется отметить следующие аспекты. </w:t>
      </w:r>
    </w:p>
    <w:p w14:paraId="75CCFB13"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shd w:val="clear" w:color="auto" w:fill="FFFFFF"/>
        </w:rPr>
        <w:t>Проблему причинной связи можно отнести к числу одной из самых сложных и спорных в отечественной цивилистической науке.</w:t>
      </w:r>
    </w:p>
    <w:p w14:paraId="53C8EF01"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 xml:space="preserve">Причинная связь - необходимая связь между явлениями, при которой одно явление (причина) предшествует другому (следствию) и порождает его. </w:t>
      </w:r>
    </w:p>
    <w:p w14:paraId="5E85D0CE"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Разделение предвидимости и причинной связи обусловлено глубокими теоретическими предпосылками.</w:t>
      </w:r>
    </w:p>
    <w:p w14:paraId="4EA847B3"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lastRenderedPageBreak/>
        <w:t xml:space="preserve">Предвидимость конкурирует с причинной связью, но лишь в смысле порядка ее определения, поскольку предвидимость заранее устанавливает презумпцию причинной связи в отношении договорных убытков, которые стороны прямо указали в договоре, либо в отношении тех убытков, о которых должник должен был знать на стадии заключения договора ввиду своей осведомленности либо в силу действия гражданско-правовых обычаев. </w:t>
      </w:r>
    </w:p>
    <w:p w14:paraId="28D38834"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Предвидимость является самодостаточным критерием для возмещения убытков, который не зависит от причинности и, по существу, выступает стержнем альтернативного подхода при определении оснований для возмещения убытков вследствие неисполнения договорных обязательств.</w:t>
      </w:r>
    </w:p>
    <w:p w14:paraId="561CF520"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Богатый опыт зарубежных стран в некоторых вопросах полагаем целесообразно применять в национальном законодательстве. Мы полагаем, что предвидимость ущерба, может использоваться в российском гражданском судопроизводстве наряду с причинной связью, но нельзя понятие «причинной связи» подменять «предвиденностью ущерба». Предвидимость убытков на момент заключения договора следует рассматривать судебной практикой как один из необходимых признаков причинной связи между допущенным нарушением договорного обязательства и наступившими последствиями, ограничивающих круг последствий, за которые ответственна сторона, нарушившая обязательство.</w:t>
      </w:r>
    </w:p>
    <w:p w14:paraId="2FF4BC58"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На наш взгляд, Д. Саидов справедливо отмечает, что предвидимость и причинная связь тесно связаны между собой и их невозможно отделить друг от друга, но, по крайней мере, на теоретическом уровне предвидимость не может заменить собой причинную связь. Причинная связь выступает условием ответственности, а предвидимость — инструментом определения размера ответственности.</w:t>
      </w:r>
      <w:r>
        <w:rPr>
          <w:rStyle w:val="a7"/>
          <w:rFonts w:ascii="Times New Roman" w:hAnsi="Times New Roman" w:cs="Times New Roman"/>
          <w:sz w:val="24"/>
          <w:szCs w:val="24"/>
        </w:rPr>
        <w:footnoteReference w:id="251"/>
      </w:r>
    </w:p>
    <w:p w14:paraId="5AEA4F23"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p>
    <w:p w14:paraId="69EAE361"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rFonts w:ascii="Times New Roman" w:hAnsi="Times New Roman" w:cs="Times New Roman"/>
          <w:b/>
          <w:sz w:val="24"/>
          <w:szCs w:val="24"/>
        </w:rPr>
      </w:pPr>
      <w:r>
        <w:rPr>
          <w:rFonts w:ascii="Times New Roman" w:hAnsi="Times New Roman" w:cs="Times New Roman"/>
          <w:b/>
          <w:sz w:val="24"/>
          <w:szCs w:val="24"/>
        </w:rPr>
        <w:t>Библиографический список</w:t>
      </w:r>
    </w:p>
    <w:p w14:paraId="7321EF21" w14:textId="77777777" w:rsidR="001B6C3B" w:rsidRDefault="001B6C3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1. Белых В. С. Правовое регулирование предпринимательской деятельности в России : монография. – М.,  2009.</w:t>
      </w:r>
    </w:p>
    <w:p w14:paraId="77DFBE98"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2. Гражданское уложение : проект Высочайше учрежденной Редакционной комиссии по составлению Гражданского уложения. Т. 2 / под ред. И. М. Тютрюмова. – СПб., 1910.  </w:t>
      </w:r>
    </w:p>
    <w:p w14:paraId="5D9FC5ED" w14:textId="77777777" w:rsidR="001B6C3B" w:rsidRDefault="001B6C3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3. Гражданский кодекс Франции (Кодекс Наполеона). – М. Инфортропик Медиа, 2012.</w:t>
      </w:r>
    </w:p>
    <w:p w14:paraId="557906EA" w14:textId="77777777" w:rsidR="001B6C3B" w:rsidRDefault="001B6C3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4. Жарский А. В. Возмещение убытков в международном коммерческом обороте // Журнал российского права. –2001. – № 5.</w:t>
      </w:r>
    </w:p>
    <w:p w14:paraId="1F0B157A" w14:textId="77777777" w:rsidR="001B6C3B" w:rsidRDefault="001B6C3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shd w:val="clear" w:color="auto" w:fill="FFFFFF"/>
        </w:rPr>
        <w:t xml:space="preserve">5. </w:t>
      </w:r>
      <w:r>
        <w:rPr>
          <w:rFonts w:ascii="Times New Roman" w:hAnsi="Times New Roman" w:cs="Times New Roman"/>
          <w:sz w:val="24"/>
          <w:szCs w:val="24"/>
        </w:rPr>
        <w:t>Концепция развития гражданского законодательства РФ : одобрена решением Совета при Президенте РФ по кодификации и совершенствованию гражданского законодательства от 07.10.2009 // Вестник ВАС РФ.  – 2009. – № 11.</w:t>
      </w:r>
    </w:p>
    <w:p w14:paraId="0743B454"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 xml:space="preserve">6. Международное и зарубежное финансовое регулирование : институты, сделки, инфраструктура : монография. В 2 ч. Ч. 2 / под ред. А. В. Шамраева. – М.,  2014. </w:t>
      </w:r>
    </w:p>
    <w:p w14:paraId="4B69A72C" w14:textId="77777777" w:rsidR="001B6C3B" w:rsidRDefault="001B6C3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7. Синявская М. С. Вопросы нарушения договора и его последствий в современном французском праве : настоящее положение дел, критика, проект реформы // Вестник гражданского права. – 2008. – № 3.</w:t>
      </w:r>
    </w:p>
    <w:p w14:paraId="2F3F26B7" w14:textId="77777777" w:rsidR="001B6C3B" w:rsidRDefault="001B6C3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 xml:space="preserve">8. Розенберг М. Г. Контракт международной купли-продажи: Современная практика заключения. Разрешение споров. – М., - 1996. </w:t>
      </w:r>
    </w:p>
    <w:p w14:paraId="24BD0B41" w14:textId="77777777" w:rsidR="001B6C3B" w:rsidRDefault="001B6C3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lang w:val="en-US"/>
        </w:rPr>
        <w:t xml:space="preserve">9. Posner E. A. Contract Remedies: Foreseeability, Precaution, Causation and Mitigation // The Encyclopedia of Law and Economics / ed. by B. Bouckaert, G. de Geest. </w:t>
      </w:r>
      <w:r>
        <w:rPr>
          <w:rFonts w:ascii="Times New Roman" w:hAnsi="Times New Roman" w:cs="Times New Roman"/>
          <w:sz w:val="24"/>
          <w:szCs w:val="24"/>
        </w:rPr>
        <w:t>Cheltenham, – 2000. – P. 176.</w:t>
      </w:r>
    </w:p>
    <w:p w14:paraId="03658F1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sectPr w:rsidR="001B6C3B">
          <w:footnotePr>
            <w:numRestart w:val="eachPage"/>
          </w:footnotePr>
          <w:pgSz w:w="11906" w:h="16838"/>
          <w:pgMar w:top="1134" w:right="1134" w:bottom="1134" w:left="1134" w:header="709" w:footer="709" w:gutter="0"/>
          <w:cols w:space="720"/>
        </w:sectPr>
      </w:pPr>
    </w:p>
    <w:p w14:paraId="6A2FFE7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7655"/>
        <w:contextualSpacing/>
        <w:jc w:val="both"/>
        <w:rPr>
          <w:rFonts w:ascii="Times New Roman" w:hAnsi="Times New Roman" w:cs="Times New Roman"/>
          <w:b/>
          <w:sz w:val="24"/>
          <w:szCs w:val="24"/>
          <w:shd w:val="clear" w:color="auto" w:fill="FFFFFF"/>
        </w:rPr>
      </w:pPr>
      <w:r>
        <w:rPr>
          <w:rFonts w:ascii="Times New Roman" w:hAnsi="Times New Roman" w:cs="Times New Roman"/>
          <w:b/>
          <w:sz w:val="24"/>
          <w:szCs w:val="24"/>
        </w:rPr>
        <w:lastRenderedPageBreak/>
        <w:t xml:space="preserve">УДК </w:t>
      </w:r>
      <w:r>
        <w:rPr>
          <w:rFonts w:ascii="Times New Roman" w:hAnsi="Times New Roman" w:cs="Times New Roman"/>
          <w:b/>
          <w:sz w:val="24"/>
          <w:szCs w:val="24"/>
          <w:shd w:val="clear" w:color="auto" w:fill="FFFFFF"/>
        </w:rPr>
        <w:t>340.130.54</w:t>
      </w:r>
    </w:p>
    <w:p w14:paraId="4E42C8A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7655"/>
        <w:contextualSpacing/>
        <w:jc w:val="both"/>
        <w:rPr>
          <w:rFonts w:ascii="Times New Roman" w:hAnsi="Times New Roman" w:cs="Times New Roman"/>
          <w:b/>
          <w:sz w:val="24"/>
          <w:szCs w:val="24"/>
        </w:rPr>
      </w:pPr>
    </w:p>
    <w:p w14:paraId="731917F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835"/>
        <w:contextualSpacing/>
        <w:jc w:val="both"/>
        <w:rPr>
          <w:rFonts w:ascii="Times New Roman" w:hAnsi="Times New Roman" w:cs="Times New Roman"/>
          <w:b/>
          <w:sz w:val="24"/>
          <w:szCs w:val="24"/>
        </w:rPr>
      </w:pPr>
      <w:r>
        <w:rPr>
          <w:rFonts w:ascii="Times New Roman" w:hAnsi="Times New Roman" w:cs="Times New Roman"/>
          <w:b/>
          <w:sz w:val="24"/>
          <w:szCs w:val="24"/>
        </w:rPr>
        <w:t>Назаров Артём Александрович</w:t>
      </w:r>
    </w:p>
    <w:p w14:paraId="24BA5D3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835"/>
        <w:contextualSpacing/>
        <w:jc w:val="both"/>
        <w:rPr>
          <w:rFonts w:ascii="Times New Roman" w:hAnsi="Times New Roman" w:cs="Times New Roman"/>
          <w:b/>
          <w:sz w:val="24"/>
          <w:szCs w:val="24"/>
        </w:rPr>
      </w:pPr>
      <w:r>
        <w:rPr>
          <w:rFonts w:ascii="Times New Roman" w:hAnsi="Times New Roman" w:cs="Times New Roman"/>
          <w:b/>
          <w:sz w:val="24"/>
          <w:szCs w:val="24"/>
          <w:lang w:val="en-US"/>
        </w:rPr>
        <w:t>Nazarov</w:t>
      </w:r>
      <w:r w:rsidRPr="00430C1C">
        <w:rPr>
          <w:rFonts w:ascii="Times New Roman" w:hAnsi="Times New Roman" w:cs="Times New Roman"/>
          <w:b/>
          <w:sz w:val="24"/>
          <w:szCs w:val="24"/>
        </w:rPr>
        <w:t xml:space="preserve"> </w:t>
      </w:r>
      <w:r>
        <w:rPr>
          <w:rFonts w:ascii="Times New Roman" w:hAnsi="Times New Roman" w:cs="Times New Roman"/>
          <w:b/>
          <w:sz w:val="24"/>
          <w:szCs w:val="24"/>
          <w:lang w:val="en-US"/>
        </w:rPr>
        <w:t>Artyom</w:t>
      </w:r>
      <w:r w:rsidRPr="00430C1C">
        <w:rPr>
          <w:rFonts w:ascii="Times New Roman" w:hAnsi="Times New Roman" w:cs="Times New Roman"/>
          <w:b/>
          <w:sz w:val="24"/>
          <w:szCs w:val="24"/>
        </w:rPr>
        <w:t xml:space="preserve"> </w:t>
      </w:r>
      <w:r>
        <w:rPr>
          <w:rFonts w:ascii="Times New Roman" w:hAnsi="Times New Roman" w:cs="Times New Roman"/>
          <w:b/>
          <w:sz w:val="24"/>
          <w:szCs w:val="24"/>
          <w:lang w:val="en-US"/>
        </w:rPr>
        <w:t>Aleksandrovich</w:t>
      </w:r>
    </w:p>
    <w:p w14:paraId="1C97D1A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835"/>
        <w:contextualSpacing/>
        <w:jc w:val="both"/>
        <w:rPr>
          <w:rFonts w:ascii="Times New Roman" w:hAnsi="Times New Roman" w:cs="Times New Roman"/>
          <w:sz w:val="24"/>
          <w:szCs w:val="24"/>
        </w:rPr>
      </w:pPr>
      <w:r>
        <w:rPr>
          <w:rFonts w:ascii="Times New Roman" w:hAnsi="Times New Roman" w:cs="Times New Roman"/>
          <w:sz w:val="24"/>
          <w:szCs w:val="24"/>
        </w:rPr>
        <w:t xml:space="preserve">магистрант Федеральное государственное бюджетное образовательное учреждение высшего образования </w:t>
      </w:r>
    </w:p>
    <w:p w14:paraId="07524A5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835"/>
        <w:contextualSpacing/>
        <w:jc w:val="both"/>
        <w:rPr>
          <w:rFonts w:ascii="Times New Roman" w:hAnsi="Times New Roman" w:cs="Times New Roman"/>
          <w:sz w:val="24"/>
          <w:szCs w:val="24"/>
        </w:rPr>
      </w:pPr>
      <w:r>
        <w:rPr>
          <w:rFonts w:ascii="Times New Roman" w:hAnsi="Times New Roman" w:cs="Times New Roman"/>
          <w:sz w:val="24"/>
          <w:szCs w:val="24"/>
        </w:rPr>
        <w:t>«Кубанский государственный аграрный университет имени И.Т. Трубилина»</w:t>
      </w:r>
    </w:p>
    <w:p w14:paraId="7AF9885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835"/>
        <w:contextualSpacing/>
        <w:jc w:val="both"/>
        <w:rPr>
          <w:rFonts w:ascii="Times New Roman" w:hAnsi="Times New Roman" w:cs="Times New Roman"/>
          <w:sz w:val="24"/>
          <w:szCs w:val="24"/>
          <w:lang w:val="en-US"/>
        </w:rPr>
      </w:pPr>
      <w:r>
        <w:rPr>
          <w:rFonts w:ascii="Times New Roman" w:hAnsi="Times New Roman" w:cs="Times New Roman"/>
          <w:sz w:val="24"/>
          <w:szCs w:val="24"/>
          <w:lang w:val="en-US"/>
        </w:rPr>
        <w:t>Federal State Budgetary Educational Institution of Higher Education</w:t>
      </w:r>
    </w:p>
    <w:p w14:paraId="51F09B6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835"/>
        <w:contextualSpacing/>
        <w:jc w:val="both"/>
        <w:rPr>
          <w:rFonts w:ascii="Times New Roman" w:hAnsi="Times New Roman" w:cs="Times New Roman"/>
          <w:sz w:val="24"/>
          <w:szCs w:val="24"/>
          <w:lang w:val="en-US"/>
        </w:rPr>
      </w:pPr>
      <w:r>
        <w:rPr>
          <w:rFonts w:ascii="Times New Roman" w:hAnsi="Times New Roman" w:cs="Times New Roman"/>
          <w:sz w:val="24"/>
          <w:szCs w:val="24"/>
          <w:lang w:val="en-US"/>
        </w:rPr>
        <w:t>«Kuban State Agrarian University named after I.T. Trubilin»</w:t>
      </w:r>
    </w:p>
    <w:p w14:paraId="16863C3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835"/>
        <w:contextualSpacing/>
        <w:jc w:val="both"/>
        <w:rPr>
          <w:rFonts w:ascii="Times New Roman" w:hAnsi="Times New Roman" w:cs="Times New Roman"/>
          <w:sz w:val="24"/>
          <w:szCs w:val="24"/>
        </w:rPr>
      </w:pPr>
      <w:r>
        <w:rPr>
          <w:rFonts w:ascii="Times New Roman" w:hAnsi="Times New Roman" w:cs="Times New Roman"/>
          <w:sz w:val="24"/>
          <w:szCs w:val="24"/>
        </w:rPr>
        <w:t>Российская Федерация, г. Краснодар</w:t>
      </w:r>
    </w:p>
    <w:p w14:paraId="36C20C7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835"/>
        <w:contextualSpacing/>
        <w:jc w:val="both"/>
        <w:rPr>
          <w:rFonts w:ascii="Times New Roman" w:hAnsi="Times New Roman" w:cs="Times New Roman"/>
          <w:sz w:val="24"/>
          <w:szCs w:val="24"/>
        </w:rPr>
      </w:pPr>
      <w:r>
        <w:rPr>
          <w:rFonts w:ascii="Times New Roman" w:hAnsi="Times New Roman" w:cs="Times New Roman"/>
          <w:sz w:val="24"/>
          <w:szCs w:val="24"/>
        </w:rPr>
        <w:t>Russian Federation, Krasnodar</w:t>
      </w:r>
    </w:p>
    <w:p w14:paraId="4D64E0F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835"/>
        <w:contextualSpacing/>
        <w:jc w:val="both"/>
        <w:rPr>
          <w:rFonts w:ascii="Times New Roman" w:hAnsi="Times New Roman" w:cs="Times New Roman"/>
          <w:sz w:val="24"/>
          <w:szCs w:val="24"/>
        </w:rPr>
      </w:pPr>
      <w:r>
        <w:rPr>
          <w:rFonts w:ascii="Times New Roman" w:hAnsi="Times New Roman" w:cs="Times New Roman"/>
          <w:sz w:val="24"/>
          <w:szCs w:val="24"/>
          <w:lang w:val="en-US"/>
        </w:rPr>
        <w:t>reddead</w:t>
      </w:r>
      <w:r>
        <w:rPr>
          <w:rFonts w:ascii="Times New Roman" w:hAnsi="Times New Roman" w:cs="Times New Roman"/>
          <w:sz w:val="24"/>
          <w:szCs w:val="24"/>
        </w:rPr>
        <w:t>_2011@</w:t>
      </w:r>
      <w:r>
        <w:rPr>
          <w:rFonts w:ascii="Times New Roman" w:hAnsi="Times New Roman" w:cs="Times New Roman"/>
          <w:sz w:val="24"/>
          <w:szCs w:val="24"/>
          <w:lang w:val="en-US"/>
        </w:rPr>
        <w:t>mail</w:t>
      </w:r>
      <w:r>
        <w:rPr>
          <w:rFonts w:ascii="Times New Roman" w:hAnsi="Times New Roman" w:cs="Times New Roman"/>
          <w:sz w:val="24"/>
          <w:szCs w:val="24"/>
        </w:rPr>
        <w:t>.</w:t>
      </w:r>
      <w:r>
        <w:rPr>
          <w:rFonts w:ascii="Times New Roman" w:hAnsi="Times New Roman" w:cs="Times New Roman"/>
          <w:sz w:val="24"/>
          <w:szCs w:val="24"/>
          <w:lang w:val="en-US"/>
        </w:rPr>
        <w:t>ru</w:t>
      </w:r>
    </w:p>
    <w:p w14:paraId="32170BE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835"/>
        <w:contextualSpacing/>
        <w:jc w:val="both"/>
        <w:rPr>
          <w:rFonts w:ascii="Times New Roman" w:hAnsi="Times New Roman" w:cs="Times New Roman"/>
          <w:sz w:val="24"/>
          <w:szCs w:val="24"/>
        </w:rPr>
      </w:pPr>
      <w:r>
        <w:rPr>
          <w:rFonts w:ascii="Times New Roman" w:hAnsi="Times New Roman" w:cs="Times New Roman"/>
          <w:sz w:val="24"/>
          <w:szCs w:val="24"/>
        </w:rPr>
        <w:t xml:space="preserve">Научный руководитель: д. ю. н., профессор  Камышанский Владимир Павлович </w:t>
      </w:r>
    </w:p>
    <w:p w14:paraId="3930117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835"/>
        <w:contextualSpacing/>
        <w:jc w:val="both"/>
        <w:rPr>
          <w:rFonts w:ascii="Times New Roman" w:hAnsi="Times New Roman" w:cs="Times New Roman"/>
          <w:sz w:val="24"/>
          <w:szCs w:val="24"/>
        </w:rPr>
      </w:pPr>
    </w:p>
    <w:p w14:paraId="041A710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center"/>
        <w:rPr>
          <w:rFonts w:ascii="Times New Roman" w:hAnsi="Times New Roman" w:cs="Times New Roman"/>
          <w:b/>
          <w:sz w:val="24"/>
          <w:szCs w:val="24"/>
        </w:rPr>
      </w:pPr>
      <w:r>
        <w:rPr>
          <w:rFonts w:ascii="Times New Roman" w:hAnsi="Times New Roman" w:cs="Times New Roman"/>
          <w:b/>
          <w:sz w:val="24"/>
          <w:szCs w:val="24"/>
        </w:rPr>
        <w:t>О ДУАЛИСТИЧЕСКОЙ СИСТЕМЕ ЧАСТНОГО ПРАВА</w:t>
      </w:r>
    </w:p>
    <w:p w14:paraId="056DC90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center"/>
        <w:rPr>
          <w:rFonts w:ascii="Times New Roman" w:hAnsi="Times New Roman" w:cs="Times New Roman"/>
          <w:b/>
          <w:sz w:val="24"/>
          <w:szCs w:val="24"/>
        </w:rPr>
      </w:pPr>
    </w:p>
    <w:p w14:paraId="5FC58B3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hAnsi="Times New Roman" w:cs="Times New Roman"/>
          <w:b/>
          <w:sz w:val="24"/>
          <w:szCs w:val="24"/>
        </w:rPr>
      </w:pPr>
      <w:r>
        <w:rPr>
          <w:rFonts w:ascii="Times New Roman" w:hAnsi="Times New Roman" w:cs="Times New Roman"/>
          <w:b/>
          <w:sz w:val="24"/>
          <w:szCs w:val="24"/>
        </w:rPr>
        <w:t>ON THE DUALISTIC PRIVATE LAW SYSTEM</w:t>
      </w:r>
    </w:p>
    <w:p w14:paraId="387BE63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hAnsi="Times New Roman" w:cs="Times New Roman"/>
        </w:rPr>
      </w:pPr>
    </w:p>
    <w:p w14:paraId="043B051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i/>
          <w:sz w:val="24"/>
          <w:szCs w:val="24"/>
        </w:rPr>
        <w:t>Аннотация:</w:t>
      </w:r>
      <w:r>
        <w:rPr>
          <w:rFonts w:ascii="Times New Roman" w:hAnsi="Times New Roman" w:cs="Times New Roman"/>
          <w:sz w:val="24"/>
          <w:szCs w:val="24"/>
        </w:rPr>
        <w:t xml:space="preserve"> В статье рассматривается такое понятие, как дуалистическая система частного права. Автором были изучены уже сформулированные подходы к дуализму частного права, приведены различные позиции ученых в области юриспруденции по этому вопросу. В ходе изучения, автором были сформулированы выводы по состоянию дуализма частного права не только в современной России, но и в других странах.</w:t>
      </w:r>
    </w:p>
    <w:p w14:paraId="673F705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i/>
          <w:sz w:val="24"/>
          <w:szCs w:val="24"/>
        </w:rPr>
        <w:t>Ключевые слова</w:t>
      </w:r>
      <w:r>
        <w:rPr>
          <w:rFonts w:ascii="Times New Roman" w:hAnsi="Times New Roman" w:cs="Times New Roman"/>
          <w:sz w:val="24"/>
          <w:szCs w:val="24"/>
        </w:rPr>
        <w:t>: гражданское право; частное право; торговое право; предпринимательская деятельность; дуализм.</w:t>
      </w:r>
    </w:p>
    <w:p w14:paraId="07C6894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lang w:val="en-US"/>
        </w:rPr>
      </w:pPr>
      <w:r>
        <w:rPr>
          <w:rFonts w:ascii="Times New Roman" w:hAnsi="Times New Roman" w:cs="Times New Roman"/>
          <w:i/>
          <w:sz w:val="24"/>
          <w:szCs w:val="24"/>
          <w:lang w:val="en-US"/>
        </w:rPr>
        <w:t>Annotation:</w:t>
      </w:r>
      <w:r>
        <w:rPr>
          <w:rFonts w:ascii="Times New Roman" w:hAnsi="Times New Roman" w:cs="Times New Roman"/>
          <w:sz w:val="24"/>
          <w:szCs w:val="24"/>
          <w:lang w:val="en-US"/>
        </w:rPr>
        <w:t xml:space="preserve"> The article considers such a concept as a dualistic system of private law. The author examined the already formulated approaches to the dualism of private law, presented various positions of scholars in the field of jurisprudence on this issue. During the study, the author formulated conclusions on the state of dualism of private law not only in modern Russia, but also in other countries.</w:t>
      </w:r>
    </w:p>
    <w:p w14:paraId="668D85C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lang w:val="en-US"/>
        </w:rPr>
      </w:pPr>
      <w:r>
        <w:rPr>
          <w:rFonts w:ascii="Times New Roman" w:hAnsi="Times New Roman" w:cs="Times New Roman"/>
          <w:i/>
          <w:sz w:val="24"/>
          <w:szCs w:val="24"/>
          <w:lang w:val="en-US"/>
        </w:rPr>
        <w:t>Keywords:</w:t>
      </w:r>
      <w:r>
        <w:rPr>
          <w:rFonts w:ascii="Times New Roman" w:hAnsi="Times New Roman" w:cs="Times New Roman"/>
          <w:sz w:val="24"/>
          <w:szCs w:val="24"/>
          <w:lang w:val="en-US"/>
        </w:rPr>
        <w:t xml:space="preserve"> civil law; private right; commercial law; entrepreneurial activity; dualism</w:t>
      </w:r>
    </w:p>
    <w:p w14:paraId="5E519EA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lang w:val="en-US"/>
        </w:rPr>
      </w:pPr>
    </w:p>
    <w:p w14:paraId="7C40161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Считается, что экономическая сфера является одной из важнейших в жизни не только общества, но и государства. Именно государству предоставляются законодательные инструменты по регулированию экономической сферы. Посредством государственного регулирования этой области, решаются важны вопросы: благосостояние населения, стабильность доходов (как граждан, так и поступления денежных средств в бюджет государства), направление денежных потоков на социальные программы и др.</w:t>
      </w:r>
    </w:p>
    <w:p w14:paraId="419CCE7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 xml:space="preserve">Мало иметь лишь план действий. Государство, посредством принятия норм, должно дать возможность гражданам в полной мере реализовывать их конституционные права. В том числе право заниматься предпринимательской деятельностью. </w:t>
      </w:r>
    </w:p>
    <w:p w14:paraId="37A8AD9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 xml:space="preserve">Предпринимательская деятельность является составляющим элементом экономической жизни государства и граждан. Поэтому следует уделить ей особое внимание с законодательной точки зрения. </w:t>
      </w:r>
    </w:p>
    <w:p w14:paraId="5D17C92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 xml:space="preserve">Итак, предпринимательство (предпринимательская деятельность) – самостоятельная, осуществляемая на свой риск деятельность, направленная на систематическое получение прибыли от пользования имущества, продажи товаров, выполнения работ или оказания услуг </w:t>
      </w:r>
      <w:r>
        <w:rPr>
          <w:rFonts w:ascii="Times New Roman" w:hAnsi="Times New Roman" w:cs="Times New Roman"/>
          <w:sz w:val="24"/>
          <w:szCs w:val="24"/>
        </w:rPr>
        <w:lastRenderedPageBreak/>
        <w:t>лицами, зарегистрированными в качестве предпринимателей в установленном законом порядке</w:t>
      </w:r>
      <w:r>
        <w:rPr>
          <w:rStyle w:val="a7"/>
          <w:rFonts w:ascii="Times New Roman" w:hAnsi="Times New Roman" w:cs="Times New Roman"/>
          <w:sz w:val="24"/>
          <w:szCs w:val="24"/>
        </w:rPr>
        <w:footnoteReference w:id="252"/>
      </w:r>
      <w:r>
        <w:rPr>
          <w:rFonts w:ascii="Times New Roman" w:hAnsi="Times New Roman" w:cs="Times New Roman"/>
          <w:sz w:val="24"/>
          <w:szCs w:val="24"/>
        </w:rPr>
        <w:t>.</w:t>
      </w:r>
    </w:p>
    <w:p w14:paraId="748CB47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Выделим основные признаки из анализа данного понятия:</w:t>
      </w:r>
    </w:p>
    <w:p w14:paraId="54F3DDCB" w14:textId="77777777" w:rsidR="001B6C3B" w:rsidRDefault="001B6C3B" w:rsidP="00E3198A">
      <w:pPr>
        <w:numPr>
          <w:ilvl w:val="0"/>
          <w:numId w:val="2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contextualSpacing/>
        <w:jc w:val="both"/>
        <w:rPr>
          <w:rFonts w:ascii="Times New Roman" w:eastAsia="Helvetica Neue" w:hAnsi="Times New Roman" w:cs="Times New Roman"/>
          <w:sz w:val="24"/>
          <w:szCs w:val="24"/>
        </w:rPr>
      </w:pPr>
      <w:r>
        <w:rPr>
          <w:rFonts w:ascii="Times New Roman" w:eastAsia="Helvetica Neue" w:hAnsi="Times New Roman" w:cs="Times New Roman"/>
          <w:sz w:val="24"/>
          <w:szCs w:val="24"/>
        </w:rPr>
        <w:t>предпринимательскую деятельность прежде всего можно охарактеризовать как самостоятельную. Это означает наличие юридического равенства предпринимателей с другими участниками гражданских правоотношений. Следовательно, можно говорить отсутствии заранее установленной власти одних участников гражданских правоотношений над другими;</w:t>
      </w:r>
    </w:p>
    <w:p w14:paraId="2A90A72A" w14:textId="77777777" w:rsidR="001B6C3B" w:rsidRDefault="001B6C3B" w:rsidP="00E3198A">
      <w:pPr>
        <w:numPr>
          <w:ilvl w:val="0"/>
          <w:numId w:val="2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contextualSpacing/>
        <w:jc w:val="both"/>
        <w:rPr>
          <w:rFonts w:ascii="Times New Roman" w:eastAsia="Helvetica Neue" w:hAnsi="Times New Roman" w:cs="Times New Roman"/>
          <w:sz w:val="24"/>
          <w:szCs w:val="24"/>
        </w:rPr>
      </w:pPr>
      <w:r>
        <w:rPr>
          <w:rFonts w:ascii="Times New Roman" w:eastAsia="Helvetica Neue" w:hAnsi="Times New Roman" w:cs="Times New Roman"/>
          <w:sz w:val="24"/>
          <w:szCs w:val="24"/>
        </w:rPr>
        <w:t>предприниматель сам вправе выбрать один из предоставленных вариантов поведения, а также определиться со сферой деятельности;</w:t>
      </w:r>
    </w:p>
    <w:p w14:paraId="0A69B7C0" w14:textId="77777777" w:rsidR="001B6C3B" w:rsidRDefault="001B6C3B" w:rsidP="00E3198A">
      <w:pPr>
        <w:numPr>
          <w:ilvl w:val="0"/>
          <w:numId w:val="2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contextualSpacing/>
        <w:jc w:val="both"/>
        <w:rPr>
          <w:rFonts w:ascii="Times New Roman" w:eastAsia="Helvetica Neue" w:hAnsi="Times New Roman" w:cs="Times New Roman"/>
          <w:sz w:val="24"/>
          <w:szCs w:val="24"/>
        </w:rPr>
      </w:pPr>
      <w:r>
        <w:rPr>
          <w:rFonts w:ascii="Times New Roman" w:eastAsia="Helvetica Neue" w:hAnsi="Times New Roman" w:cs="Times New Roman"/>
          <w:sz w:val="24"/>
          <w:szCs w:val="24"/>
        </w:rPr>
        <w:t>предприниматель самостоятельно отвечает по своим долгам;</w:t>
      </w:r>
    </w:p>
    <w:p w14:paraId="14BAEACA" w14:textId="77777777" w:rsidR="001B6C3B" w:rsidRDefault="001B6C3B" w:rsidP="00E3198A">
      <w:pPr>
        <w:numPr>
          <w:ilvl w:val="0"/>
          <w:numId w:val="2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contextualSpacing/>
        <w:jc w:val="both"/>
        <w:rPr>
          <w:rFonts w:ascii="Times New Roman" w:eastAsia="Helvetica Neue" w:hAnsi="Times New Roman" w:cs="Times New Roman"/>
          <w:sz w:val="24"/>
          <w:szCs w:val="24"/>
        </w:rPr>
      </w:pPr>
      <w:r>
        <w:rPr>
          <w:rFonts w:ascii="Times New Roman" w:eastAsia="Helvetica Neue" w:hAnsi="Times New Roman" w:cs="Times New Roman"/>
          <w:sz w:val="24"/>
          <w:szCs w:val="24"/>
        </w:rPr>
        <w:t xml:space="preserve"> наличие обособленного собственного имущества;</w:t>
      </w:r>
    </w:p>
    <w:p w14:paraId="61CDF709" w14:textId="77777777" w:rsidR="001B6C3B" w:rsidRDefault="001B6C3B" w:rsidP="00E3198A">
      <w:pPr>
        <w:numPr>
          <w:ilvl w:val="0"/>
          <w:numId w:val="2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contextualSpacing/>
        <w:jc w:val="both"/>
        <w:rPr>
          <w:rFonts w:ascii="Times New Roman" w:eastAsia="Helvetica Neue" w:hAnsi="Times New Roman" w:cs="Times New Roman"/>
          <w:sz w:val="24"/>
          <w:szCs w:val="24"/>
        </w:rPr>
      </w:pPr>
      <w:r>
        <w:rPr>
          <w:rFonts w:ascii="Times New Roman" w:eastAsia="Helvetica Neue" w:hAnsi="Times New Roman" w:cs="Times New Roman"/>
          <w:sz w:val="24"/>
          <w:szCs w:val="24"/>
        </w:rPr>
        <w:t>предпринимательская деятельность связана с риском. предприниматель сам отвечает за все последствия, вызванные его действиями. предпринимательский риск — это риск убытков от предпринимательской деятельности из-за нарушения своих обязательств контрагентами предпринимателя или изменения условия этой деятельности по независящим от предпринимателя обстоятельства, в том числе риск неполучения ожидаемых доходов</w:t>
      </w:r>
      <w:r>
        <w:rPr>
          <w:rStyle w:val="a7"/>
          <w:rFonts w:ascii="Times New Roman" w:eastAsia="Helvetica Neue" w:hAnsi="Times New Roman" w:cs="Times New Roman"/>
          <w:sz w:val="24"/>
          <w:szCs w:val="24"/>
        </w:rPr>
        <w:footnoteReference w:id="253"/>
      </w:r>
      <w:r>
        <w:rPr>
          <w:rFonts w:ascii="Times New Roman" w:eastAsia="Helvetica Neue" w:hAnsi="Times New Roman" w:cs="Times New Roman"/>
          <w:sz w:val="24"/>
          <w:szCs w:val="24"/>
        </w:rPr>
        <w:t xml:space="preserve"> (ст. 929 ГК РФ);</w:t>
      </w:r>
    </w:p>
    <w:p w14:paraId="358B0231" w14:textId="77777777" w:rsidR="001B6C3B" w:rsidRDefault="001B6C3B" w:rsidP="00E3198A">
      <w:pPr>
        <w:numPr>
          <w:ilvl w:val="0"/>
          <w:numId w:val="2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contextualSpacing/>
        <w:jc w:val="both"/>
        <w:rPr>
          <w:rFonts w:ascii="Times New Roman" w:eastAsia="Helvetica Neue" w:hAnsi="Times New Roman" w:cs="Times New Roman"/>
          <w:sz w:val="24"/>
          <w:szCs w:val="24"/>
        </w:rPr>
      </w:pPr>
      <w:r>
        <w:rPr>
          <w:rFonts w:ascii="Times New Roman" w:eastAsia="Helvetica Neue" w:hAnsi="Times New Roman" w:cs="Times New Roman"/>
          <w:sz w:val="24"/>
          <w:szCs w:val="24"/>
        </w:rPr>
        <w:t>предпринимательская деятельность — деятельность, которая требует регистрации в установленном законом порядке (ст. 23 ГК РФ);</w:t>
      </w:r>
    </w:p>
    <w:p w14:paraId="30DFD730" w14:textId="77777777" w:rsidR="001B6C3B" w:rsidRDefault="001B6C3B" w:rsidP="00E3198A">
      <w:pPr>
        <w:numPr>
          <w:ilvl w:val="0"/>
          <w:numId w:val="2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contextualSpacing/>
        <w:jc w:val="both"/>
        <w:rPr>
          <w:rFonts w:ascii="Times New Roman" w:eastAsia="Helvetica Neue" w:hAnsi="Times New Roman" w:cs="Times New Roman"/>
          <w:sz w:val="24"/>
          <w:szCs w:val="24"/>
        </w:rPr>
      </w:pPr>
      <w:r>
        <w:rPr>
          <w:rFonts w:ascii="Times New Roman" w:eastAsia="Helvetica Neue" w:hAnsi="Times New Roman" w:cs="Times New Roman"/>
          <w:sz w:val="24"/>
          <w:szCs w:val="24"/>
        </w:rPr>
        <w:t>предпринимательская деятельность — характеризируется, как систематически приносящая доход деятельность;</w:t>
      </w:r>
    </w:p>
    <w:p w14:paraId="164F078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eastAsia="Helvetica Neue" w:hAnsi="Times New Roman" w:cs="Times New Roman"/>
          <w:sz w:val="24"/>
          <w:szCs w:val="24"/>
        </w:rPr>
      </w:pPr>
      <w:r>
        <w:rPr>
          <w:rFonts w:ascii="Times New Roman" w:hAnsi="Times New Roman" w:cs="Times New Roman"/>
          <w:sz w:val="24"/>
          <w:szCs w:val="24"/>
        </w:rPr>
        <w:t xml:space="preserve">В научно-юридической среде сложилось определённое мнение по поводу признаков предпринимательской деятельности. При учёте этих мнений можно сказать следующее </w:t>
      </w:r>
      <w:r>
        <w:rPr>
          <w:rFonts w:ascii="Times New Roman" w:eastAsia="Helvetica Neue" w:hAnsi="Times New Roman" w:cs="Times New Roman"/>
          <w:sz w:val="24"/>
          <w:szCs w:val="24"/>
        </w:rPr>
        <w:t>– признаки предпринимательской деятельности можно разделить на 2 группы: квалифицирующие (обязательные, помогающие отличить предпринимательскую от иной деятельности) и факультативные признаки</w:t>
      </w:r>
      <w:r>
        <w:rPr>
          <w:rStyle w:val="a7"/>
          <w:rFonts w:ascii="Times New Roman" w:eastAsia="Helvetica Neue" w:hAnsi="Times New Roman" w:cs="Times New Roman"/>
          <w:sz w:val="24"/>
          <w:szCs w:val="24"/>
        </w:rPr>
        <w:footnoteReference w:id="254"/>
      </w:r>
      <w:r>
        <w:rPr>
          <w:rFonts w:ascii="Times New Roman" w:eastAsia="Helvetica Neue" w:hAnsi="Times New Roman" w:cs="Times New Roman"/>
          <w:sz w:val="24"/>
          <w:szCs w:val="24"/>
        </w:rPr>
        <w:t>. Например, к факультативным можно отнести признак системности получения прибыли, а к квалифицирующему – государственную регистрацию. Следовательно, вопрос о признаках предпринимательской деятельности через призму классификации отчасти можно отнести к дискуссионному. А это значит, что мнений и разных подходов может быть много – это нормально. Но мы же будем придерживаться принципа понимания в юридической герменевтике: «Толковать в данном случае означает правильно понимать суть юридического текста, а интерпретировать – значит уметь его использовать для решения тех или иных проблем»</w:t>
      </w:r>
      <w:r>
        <w:rPr>
          <w:rStyle w:val="a7"/>
          <w:rFonts w:ascii="Times New Roman" w:eastAsia="Helvetica Neue" w:hAnsi="Times New Roman" w:cs="Times New Roman"/>
          <w:sz w:val="24"/>
          <w:szCs w:val="24"/>
        </w:rPr>
        <w:footnoteReference w:id="255"/>
      </w:r>
      <w:r>
        <w:rPr>
          <w:rFonts w:ascii="Times New Roman" w:eastAsia="Helvetica Neue" w:hAnsi="Times New Roman" w:cs="Times New Roman"/>
          <w:sz w:val="24"/>
          <w:szCs w:val="24"/>
        </w:rPr>
        <w:t>. Поэтому, мы остановимся на тех признаках, которые перечислены в статье 2 ГК РФ и поговорим о дуализме частного права.</w:t>
      </w:r>
    </w:p>
    <w:p w14:paraId="70E1B87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Для начала будет правильно задать следующие вопросы: каким образом закреплены коммерческие нормы? Какое место они (эти нормы) занимают в системе? Как взаимодействуют между собой и между нормами других отраслей? Что представляет из себя система частного права? Здесь как раз и берут свои начала размышления о дуализме частного права.</w:t>
      </w:r>
    </w:p>
    <w:p w14:paraId="1E6F6E7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Helvetica Neue" w:hAnsi="Times New Roman" w:cs="Times New Roman"/>
          <w:sz w:val="24"/>
          <w:szCs w:val="24"/>
        </w:rPr>
      </w:pPr>
      <w:r>
        <w:rPr>
          <w:rFonts w:ascii="Times New Roman" w:hAnsi="Times New Roman" w:cs="Times New Roman"/>
          <w:sz w:val="24"/>
          <w:szCs w:val="24"/>
        </w:rPr>
        <w:t xml:space="preserve">Как известно, первая мысль, которая придет в голову юриста, когда он услышит (или прочитает) слово «дуализм», это дуализм (деление) права страны на частное и публичное. Но в данном случае мы будем говорить о другом дуализме </w:t>
      </w:r>
      <w:r>
        <w:rPr>
          <w:rFonts w:ascii="Times New Roman" w:eastAsia="Helvetica Neue" w:hAnsi="Times New Roman" w:cs="Times New Roman"/>
          <w:sz w:val="24"/>
          <w:szCs w:val="24"/>
        </w:rPr>
        <w:t xml:space="preserve">– деление частного права. </w:t>
      </w:r>
    </w:p>
    <w:p w14:paraId="33ECFFE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Helvetica Neue" w:hAnsi="Times New Roman" w:cs="Times New Roman"/>
          <w:sz w:val="24"/>
          <w:szCs w:val="24"/>
        </w:rPr>
      </w:pPr>
      <w:r>
        <w:rPr>
          <w:rFonts w:ascii="Times New Roman" w:eastAsia="Helvetica Neue" w:hAnsi="Times New Roman" w:cs="Times New Roman"/>
          <w:sz w:val="24"/>
          <w:szCs w:val="24"/>
        </w:rPr>
        <w:t xml:space="preserve">В европейской науке в таком случае принято говорить об обособлении коммерческой деятельности от обычных норм гражданского права, при этом эти нормы функционируют в </w:t>
      </w:r>
      <w:r>
        <w:rPr>
          <w:rFonts w:ascii="Times New Roman" w:eastAsia="Helvetica Neue" w:hAnsi="Times New Roman" w:cs="Times New Roman"/>
          <w:sz w:val="24"/>
          <w:szCs w:val="24"/>
        </w:rPr>
        <w:lastRenderedPageBreak/>
        <w:t>системе гражданского права и развиваются независимо. В ходе исследования данного деления, некоторыми учеными была выявлена проблема: как разграничить область действия гражданского и торгового права? Н.Л. Дювернуа писал: «Современное обязательственное право большинства европейских государств представляет оригинальное, незнакомое римскому праву раздвоение обязательственных систем на две группы институтов: на институты общего права по обязательствам и особенного обязательственного права торгового»</w:t>
      </w:r>
      <w:r>
        <w:rPr>
          <w:rStyle w:val="a7"/>
          <w:rFonts w:ascii="Times New Roman" w:eastAsia="Helvetica Neue" w:hAnsi="Times New Roman" w:cs="Times New Roman"/>
          <w:sz w:val="24"/>
          <w:szCs w:val="24"/>
        </w:rPr>
        <w:footnoteReference w:id="256"/>
      </w:r>
      <w:r>
        <w:rPr>
          <w:rFonts w:ascii="Times New Roman" w:eastAsia="Helvetica Neue" w:hAnsi="Times New Roman" w:cs="Times New Roman"/>
          <w:sz w:val="24"/>
          <w:szCs w:val="24"/>
        </w:rPr>
        <w:t xml:space="preserve">. </w:t>
      </w:r>
    </w:p>
    <w:p w14:paraId="2623123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Helvetica Neue" w:hAnsi="Times New Roman" w:cs="Times New Roman"/>
          <w:sz w:val="24"/>
          <w:szCs w:val="24"/>
        </w:rPr>
      </w:pPr>
      <w:r>
        <w:rPr>
          <w:rFonts w:ascii="Times New Roman" w:eastAsia="Helvetica Neue" w:hAnsi="Times New Roman" w:cs="Times New Roman"/>
          <w:sz w:val="24"/>
          <w:szCs w:val="24"/>
        </w:rPr>
        <w:t>В России тоже велись дискуссии по поводу места и степени самостоятельности норм коммерческого права, о соотношении его с гражданским правом. В итоге мнения разделились на два научных лагеря –  одни поддерживали дуализм и говорили об усилении самостоятельности торговых норм (например, А.Х. Гольмстен</w:t>
      </w:r>
      <w:r>
        <w:rPr>
          <w:rStyle w:val="a7"/>
          <w:rFonts w:ascii="Times New Roman" w:eastAsia="Helvetica Neue" w:hAnsi="Times New Roman" w:cs="Times New Roman"/>
          <w:sz w:val="24"/>
          <w:szCs w:val="24"/>
        </w:rPr>
        <w:footnoteReference w:id="257"/>
      </w:r>
      <w:r>
        <w:rPr>
          <w:rFonts w:ascii="Times New Roman" w:eastAsia="Helvetica Neue" w:hAnsi="Times New Roman" w:cs="Times New Roman"/>
          <w:sz w:val="24"/>
          <w:szCs w:val="24"/>
        </w:rPr>
        <w:t>), другие продолжали говорить о монизме гражданского права (признание торговых норм в качестве составной части гражданского права) (например, Г.Ф. Шершеневич</w:t>
      </w:r>
      <w:r>
        <w:rPr>
          <w:rStyle w:val="a7"/>
          <w:rFonts w:ascii="Times New Roman" w:eastAsia="Helvetica Neue" w:hAnsi="Times New Roman" w:cs="Times New Roman"/>
          <w:sz w:val="24"/>
          <w:szCs w:val="24"/>
        </w:rPr>
        <w:footnoteReference w:id="258"/>
      </w:r>
      <w:r>
        <w:rPr>
          <w:rFonts w:ascii="Times New Roman" w:eastAsia="Helvetica Neue" w:hAnsi="Times New Roman" w:cs="Times New Roman"/>
          <w:sz w:val="24"/>
          <w:szCs w:val="24"/>
        </w:rPr>
        <w:t>).</w:t>
      </w:r>
    </w:p>
    <w:p w14:paraId="2A7FCAF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Helvetica Neue" w:hAnsi="Times New Roman" w:cs="Times New Roman"/>
          <w:sz w:val="24"/>
          <w:szCs w:val="24"/>
        </w:rPr>
      </w:pPr>
      <w:r>
        <w:rPr>
          <w:rFonts w:ascii="Times New Roman" w:eastAsia="Helvetica Neue" w:hAnsi="Times New Roman" w:cs="Times New Roman"/>
          <w:sz w:val="24"/>
          <w:szCs w:val="24"/>
        </w:rPr>
        <w:t xml:space="preserve">В наше время проблему разграничения норм решают по-разному. Можно лишь говорить об основных тенденциях – дифференциация и унификация. В первом случае нормы «разделяют» по субъектному признаку и уже от этого строят систему регулирования общественных отношений, а во втором случае происходит приведение к единой системе (унификация частного права). Следовательно, можно говорить о том, что разные правовые системы решают проблему разграничения по-разному. Например: </w:t>
      </w:r>
    </w:p>
    <w:p w14:paraId="039B060F" w14:textId="77777777" w:rsidR="001B6C3B" w:rsidRDefault="001B6C3B" w:rsidP="00E3198A">
      <w:pPr>
        <w:pStyle w:val="a4"/>
        <w:numPr>
          <w:ilvl w:val="1"/>
          <w:numId w:val="2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Helvetica Neue" w:hAnsi="Times New Roman" w:cs="Times New Roman"/>
          <w:sz w:val="24"/>
          <w:szCs w:val="24"/>
        </w:rPr>
      </w:pPr>
      <w:r>
        <w:rPr>
          <w:rFonts w:ascii="Times New Roman" w:eastAsia="Helvetica Neue" w:hAnsi="Times New Roman" w:cs="Times New Roman"/>
          <w:sz w:val="24"/>
          <w:szCs w:val="24"/>
        </w:rPr>
        <w:t>принятие отдельных кодексов. Закрепление на законодательном уровне гражданского и предпринимательского права (как самостоятельные отрасли);</w:t>
      </w:r>
    </w:p>
    <w:p w14:paraId="6D441F20" w14:textId="77777777" w:rsidR="001B6C3B" w:rsidRDefault="001B6C3B" w:rsidP="00E3198A">
      <w:pPr>
        <w:pStyle w:val="a4"/>
        <w:numPr>
          <w:ilvl w:val="1"/>
          <w:numId w:val="2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Helvetica Neue" w:hAnsi="Times New Roman" w:cs="Times New Roman"/>
          <w:sz w:val="24"/>
          <w:szCs w:val="24"/>
        </w:rPr>
      </w:pPr>
      <w:r>
        <w:rPr>
          <w:rFonts w:ascii="Times New Roman" w:eastAsia="Helvetica Neue" w:hAnsi="Times New Roman" w:cs="Times New Roman"/>
          <w:sz w:val="24"/>
          <w:szCs w:val="24"/>
        </w:rPr>
        <w:t>принятие норм исключительного характера, которые регулируют только предпринимательские отношения, содержание которых включается в отдельные законы (нормативные акты) и (или) в гражданский кодекс;</w:t>
      </w:r>
    </w:p>
    <w:p w14:paraId="696AF8D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eastAsia="Helvetica Neue" w:hAnsi="Times New Roman" w:cs="Times New Roman"/>
          <w:sz w:val="24"/>
          <w:szCs w:val="24"/>
        </w:rPr>
      </w:pPr>
      <w:r>
        <w:rPr>
          <w:rFonts w:ascii="Times New Roman" w:eastAsia="Helvetica Neue" w:hAnsi="Times New Roman" w:cs="Times New Roman"/>
          <w:sz w:val="24"/>
          <w:szCs w:val="24"/>
        </w:rPr>
        <w:t>Здесь все будет обусловлено прежде всего уже сложившимися традициями, правовой культурой, историей развития государства и т.п. Например, классическим представителем романо-германской правовой семьи является Германия. Как известно, в Германии дуалистическая система частного права и Торговый Кодекс 1897 года продолжает действовать и сегодня (со всеми дополнениями и изменениями). Теперь приведем пример из другой правовой семьи. Англия входит в англо-саксонскую правовую семью и не имеет отдельного торгового кодекса.</w:t>
      </w:r>
    </w:p>
    <w:p w14:paraId="47DA72B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eastAsia="Helvetica Neue" w:hAnsi="Times New Roman" w:cs="Times New Roman"/>
          <w:sz w:val="24"/>
          <w:szCs w:val="24"/>
        </w:rPr>
      </w:pPr>
      <w:r>
        <w:rPr>
          <w:rFonts w:ascii="Times New Roman" w:eastAsia="Helvetica Neue" w:hAnsi="Times New Roman" w:cs="Times New Roman"/>
          <w:sz w:val="24"/>
          <w:szCs w:val="24"/>
        </w:rPr>
        <w:t xml:space="preserve"> Казалось бы, можно сделать вывод о том, что принятие отдельных кодексов зависит только от принадлежности к той или иной правовой семье. Но как было сказано ранее, на кодификацию будут влиять исторические факторы развития и т.д. Например, Швейцария входит в романо-германскую правовую семью, но не имеет отдельного Торгового кодекса.</w:t>
      </w:r>
    </w:p>
    <w:p w14:paraId="2270431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eastAsia="Helvetica Neue" w:hAnsi="Times New Roman" w:cs="Times New Roman"/>
          <w:sz w:val="24"/>
          <w:szCs w:val="24"/>
        </w:rPr>
      </w:pPr>
      <w:r>
        <w:rPr>
          <w:rFonts w:ascii="Times New Roman" w:eastAsia="Helvetica Neue" w:hAnsi="Times New Roman" w:cs="Times New Roman"/>
          <w:sz w:val="24"/>
          <w:szCs w:val="24"/>
        </w:rPr>
        <w:t xml:space="preserve">Не стоит также обходить стороной тот факт, что в некоторых странах происходит процесс «стирания» границ между торговым и частным правом. И тут может быть разная аргументация: - за неимением практического смысла нескольких кодексов (например, фактическая декодификация Торгового кодекса Аргентины 1889 года) и как следствие унификация институтов торгового и гражданского права и формирования их в единую гражданскую отрасль; -фактическая коммерциализации гражданского общества. </w:t>
      </w:r>
    </w:p>
    <w:p w14:paraId="47CB2E1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eastAsia="Helvetica Neue" w:hAnsi="Times New Roman" w:cs="Times New Roman"/>
          <w:sz w:val="24"/>
          <w:szCs w:val="24"/>
        </w:rPr>
      </w:pPr>
      <w:r>
        <w:rPr>
          <w:rFonts w:ascii="Times New Roman" w:eastAsia="Helvetica Neue" w:hAnsi="Times New Roman" w:cs="Times New Roman"/>
          <w:sz w:val="24"/>
          <w:szCs w:val="24"/>
        </w:rPr>
        <w:t xml:space="preserve">Следовательно, возникает новый вопрос, который выходит на передний план: каково соотношение гражданского законодательства через грань кодификации нормативных актов? </w:t>
      </w:r>
    </w:p>
    <w:p w14:paraId="58B4D71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eastAsia="Helvetica Neue" w:hAnsi="Times New Roman" w:cs="Times New Roman"/>
          <w:sz w:val="24"/>
          <w:szCs w:val="24"/>
        </w:rPr>
      </w:pPr>
      <w:r>
        <w:rPr>
          <w:rFonts w:ascii="Times New Roman" w:eastAsia="Helvetica Neue" w:hAnsi="Times New Roman" w:cs="Times New Roman"/>
          <w:sz w:val="24"/>
          <w:szCs w:val="24"/>
        </w:rPr>
        <w:t xml:space="preserve">М. И. Кулагин говорит, что принятие единых гражданских кодексов не устраняет дуализм в правовом регулировании построенных на основе юридического равенства имущественных отношений, так как во всех зарубежных странах имеются специальные нормы, регламентирующие исключительно коммерческие (торговые) отношения, сохранение </w:t>
      </w:r>
      <w:r>
        <w:rPr>
          <w:rFonts w:ascii="Times New Roman" w:eastAsia="Helvetica Neue" w:hAnsi="Times New Roman" w:cs="Times New Roman"/>
          <w:sz w:val="24"/>
          <w:szCs w:val="24"/>
        </w:rPr>
        <w:lastRenderedPageBreak/>
        <w:t>же самостоятельности торгового права в полной мере отвечает тенденции современного права к дифференцированному регулированию однородных общественных отношений в зависимости от их субъектного состава</w:t>
      </w:r>
      <w:r>
        <w:rPr>
          <w:rStyle w:val="a7"/>
          <w:rFonts w:ascii="Times New Roman" w:eastAsia="Helvetica Neue" w:hAnsi="Times New Roman" w:cs="Times New Roman"/>
          <w:sz w:val="24"/>
          <w:szCs w:val="24"/>
        </w:rPr>
        <w:footnoteReference w:id="259"/>
      </w:r>
      <w:r>
        <w:rPr>
          <w:rFonts w:ascii="Times New Roman" w:eastAsia="Helvetica Neue" w:hAnsi="Times New Roman" w:cs="Times New Roman"/>
          <w:sz w:val="24"/>
          <w:szCs w:val="24"/>
        </w:rPr>
        <w:t>.</w:t>
      </w:r>
    </w:p>
    <w:p w14:paraId="2CAB7A6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eastAsia="Helvetica Neue" w:hAnsi="Times New Roman" w:cs="Times New Roman"/>
          <w:sz w:val="24"/>
          <w:szCs w:val="24"/>
        </w:rPr>
      </w:pPr>
      <w:r>
        <w:rPr>
          <w:rFonts w:ascii="Times New Roman" w:eastAsia="Helvetica Neue" w:hAnsi="Times New Roman" w:cs="Times New Roman"/>
          <w:sz w:val="24"/>
          <w:szCs w:val="24"/>
        </w:rPr>
        <w:t>Следовательно, проблема дуализма частного права выходит на более новый и глубокий уровень. Дуализм существует вне зависимости от принятия или непринятия отдельных кодексов. Он начинает существовать с момента включения торговых норм в любой форме, будь это отдельный кодекс или же единый гражданский кодекс (а в случае с Англией совокупность нормативных актов).</w:t>
      </w:r>
    </w:p>
    <w:p w14:paraId="4984538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eastAsia="Helvetica Neue" w:hAnsi="Times New Roman" w:cs="Times New Roman"/>
          <w:sz w:val="24"/>
          <w:szCs w:val="24"/>
        </w:rPr>
      </w:pPr>
      <w:r>
        <w:rPr>
          <w:rFonts w:ascii="Times New Roman" w:eastAsia="Helvetica Neue" w:hAnsi="Times New Roman" w:cs="Times New Roman"/>
          <w:sz w:val="24"/>
          <w:szCs w:val="24"/>
        </w:rPr>
        <w:t>С этого момента исследование необходимо вести в другой плоскости, так как сделанный и поддерживаемый нами вывод ставит другую проблему: дуализм частного права это в большей степени проблема соотношения, взаимодействия и соподчинённости норм гражданского и торгового права внутри одной системы, и в меньшей степени проблема соотношения кодификации. Можно сказать, что страны, имеющие 2 кодекса (гражданский и торговый) не только имеют дуализм частного права, но и дуализм законодательства.</w:t>
      </w:r>
    </w:p>
    <w:p w14:paraId="748466A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eastAsia="Helvetica Neue" w:hAnsi="Times New Roman" w:cs="Times New Roman"/>
          <w:sz w:val="24"/>
          <w:szCs w:val="24"/>
        </w:rPr>
      </w:pPr>
      <w:r>
        <w:rPr>
          <w:rFonts w:ascii="Times New Roman" w:eastAsia="Helvetica Neue" w:hAnsi="Times New Roman" w:cs="Times New Roman"/>
          <w:sz w:val="24"/>
          <w:szCs w:val="24"/>
        </w:rPr>
        <w:t xml:space="preserve">Идеи М. И. Кулагина о делении права и дуализме можно использовать для методологической основы (как инструмент) для исследования вопроса. В таком случае при учёте этого взгляда, дуализм необходимо понимать, как различные способы регулирования торговых и гражданских общественных отношений при этом не нарушая целостность и не перегружая правовую систему обилием кодексов и правовых актов. </w:t>
      </w:r>
    </w:p>
    <w:p w14:paraId="16624ED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eastAsia="Helvetica Neue" w:hAnsi="Times New Roman" w:cs="Times New Roman"/>
          <w:sz w:val="24"/>
          <w:szCs w:val="24"/>
        </w:rPr>
      </w:pPr>
      <w:r>
        <w:rPr>
          <w:rFonts w:ascii="Times New Roman" w:eastAsia="Helvetica Neue" w:hAnsi="Times New Roman" w:cs="Times New Roman"/>
          <w:sz w:val="24"/>
          <w:szCs w:val="24"/>
        </w:rPr>
        <w:t xml:space="preserve">Как мы знаем, в Российской Федерации нет Торгового кодекса. Гражданское и предпринимательское право урегулировано единым Гражданским кодексом и рядом нормативно-правовых актов, составляющие гражданское законодательство. Предпринимательские правоотношения регулируются специальным режимом, а именно – исключением из общих правил, которые применяются только к субъектам предпринимательской деятельности. Например, если иное не предусмотрено законом или договором, лицо, не исполнившее или ненадлежащим образом исполнившее обязательство при осуществлении предпринимательской деятельности, несет ответственность, если не докажет, что надлежащее исполнение оказалось невозможным вследствие непреодолимой силы, то есть чрезвычайных и непредотвратимых при данных условиях обстоятельств (ст. 401 ГК РФ). То есть, лицо, которое нарушило обязательство в процессе предпринимательской деятельности будет отвечать независимо от вины, когда общее правило гласит, что лицо, не исполнившее обязательства либо исполнившее его ненадлежащим образом, несет ответственность при наличии вины (умысла или неосторожности). </w:t>
      </w:r>
    </w:p>
    <w:p w14:paraId="5477367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eastAsia="Helvetica Neue" w:hAnsi="Times New Roman" w:cs="Times New Roman"/>
          <w:sz w:val="24"/>
          <w:szCs w:val="24"/>
        </w:rPr>
      </w:pPr>
      <w:r>
        <w:rPr>
          <w:rFonts w:ascii="Times New Roman" w:eastAsia="Helvetica Neue" w:hAnsi="Times New Roman" w:cs="Times New Roman"/>
          <w:sz w:val="24"/>
          <w:szCs w:val="24"/>
        </w:rPr>
        <w:t>При построении норм таким образом, как нам кажется, может возникнуть проблема, когда институты предпринимательства не могут развиваться самостоятельно, так как находятся в зависимости от общих норм, что несомненно ведет к торможению развития торгового законодательства.</w:t>
      </w:r>
    </w:p>
    <w:p w14:paraId="7C7255F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eastAsia="Helvetica Neue" w:hAnsi="Times New Roman" w:cs="Times New Roman"/>
          <w:sz w:val="24"/>
          <w:szCs w:val="24"/>
        </w:rPr>
      </w:pPr>
      <w:r>
        <w:rPr>
          <w:rFonts w:ascii="Times New Roman" w:eastAsia="Helvetica Neue" w:hAnsi="Times New Roman" w:cs="Times New Roman"/>
          <w:sz w:val="24"/>
          <w:szCs w:val="24"/>
        </w:rPr>
        <w:t>Резюмируя отметим, что дуалистическая система частного права на современном этапе имеет ряд проблем. Как показало исследование, дуализм следует понимать, как наличие норм, которые регулируют торговые (предпринимательские) правоотношения, а не наличие отдельно кодифицированных актов. Из этого следует, что главная проблема — это не соотношение гражданского законодательства через грань кодификации нормативных актов, а проблема соотношения, взаимодействия и соподчинённости норм гражданского и торгового права внутри одной системы. И неважно, сколько принято кодексов частного права, поскольку принятие единых гражданских кодексов не устраняет дуализм в правовом регулировании. Под дуализмом же следует понимать различные способы регулирования торговых и гражданских общественных отношений при этом не нарушая целостность правовой системы. Решив главную проблему, институты гражданского и предпринимательского права смогут развиваться независимо друг от друга, что несомненно пойдет только на пользу.</w:t>
      </w:r>
    </w:p>
    <w:p w14:paraId="4957D40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eastAsia="Helvetica Neue" w:hAnsi="Times New Roman" w:cs="Times New Roman"/>
          <w:sz w:val="24"/>
          <w:szCs w:val="24"/>
        </w:rPr>
      </w:pPr>
    </w:p>
    <w:p w14:paraId="496E8D9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center"/>
        <w:rPr>
          <w:rFonts w:ascii="Times New Roman" w:eastAsia="Helvetica Neue" w:hAnsi="Times New Roman" w:cs="Times New Roman"/>
          <w:b/>
          <w:sz w:val="24"/>
          <w:szCs w:val="24"/>
        </w:rPr>
      </w:pPr>
      <w:r>
        <w:rPr>
          <w:rFonts w:ascii="Times New Roman" w:eastAsia="Helvetica Neue" w:hAnsi="Times New Roman" w:cs="Times New Roman"/>
          <w:b/>
          <w:sz w:val="24"/>
          <w:szCs w:val="24"/>
        </w:rPr>
        <w:lastRenderedPageBreak/>
        <w:t>Библиографический список</w:t>
      </w:r>
    </w:p>
    <w:p w14:paraId="313A299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eastAsia="Helvetica Neue" w:hAnsi="Times New Roman" w:cs="Times New Roman"/>
          <w:b/>
          <w:sz w:val="24"/>
          <w:szCs w:val="24"/>
        </w:rPr>
      </w:pPr>
    </w:p>
    <w:p w14:paraId="1F5AD3B0" w14:textId="77777777" w:rsidR="001B6C3B" w:rsidRDefault="001B6C3B" w:rsidP="00E3198A">
      <w:pPr>
        <w:pStyle w:val="a4"/>
        <w:numPr>
          <w:ilvl w:val="0"/>
          <w:numId w:val="2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eastAsia="Helvetica Neue" w:hAnsi="Times New Roman" w:cs="Times New Roman"/>
          <w:sz w:val="24"/>
          <w:szCs w:val="24"/>
        </w:rPr>
      </w:pPr>
      <w:r>
        <w:rPr>
          <w:rFonts w:ascii="Times New Roman" w:eastAsia="Helvetica Neue" w:hAnsi="Times New Roman" w:cs="Times New Roman"/>
          <w:sz w:val="24"/>
          <w:szCs w:val="24"/>
        </w:rPr>
        <w:t>Дювернуа Н. Л. Пособие и лекции по гражданскому праву. – Самара: Изд-во Самар. гос. экон. акад. – 2001. – 136 с.</w:t>
      </w:r>
    </w:p>
    <w:p w14:paraId="7A77B923" w14:textId="77777777" w:rsidR="001B6C3B" w:rsidRDefault="001B6C3B" w:rsidP="00E3198A">
      <w:pPr>
        <w:pStyle w:val="a4"/>
        <w:numPr>
          <w:ilvl w:val="0"/>
          <w:numId w:val="2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eastAsia="Helvetica Neue" w:hAnsi="Times New Roman" w:cs="Times New Roman"/>
          <w:sz w:val="24"/>
          <w:szCs w:val="24"/>
        </w:rPr>
      </w:pPr>
      <w:r>
        <w:rPr>
          <w:rFonts w:ascii="Times New Roman" w:eastAsia="Helvetica Neue" w:hAnsi="Times New Roman" w:cs="Times New Roman"/>
          <w:sz w:val="24"/>
          <w:szCs w:val="24"/>
        </w:rPr>
        <w:t>Гольмстен А. Х. Очерки по русскому торговому праву. Вып. 1. – СПб. – 1895. – 218 с.</w:t>
      </w:r>
    </w:p>
    <w:p w14:paraId="5E066860" w14:textId="77777777" w:rsidR="001B6C3B" w:rsidRDefault="001B6C3B" w:rsidP="00E3198A">
      <w:pPr>
        <w:pStyle w:val="a4"/>
        <w:numPr>
          <w:ilvl w:val="0"/>
          <w:numId w:val="2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eastAsia="Helvetica Neue" w:hAnsi="Times New Roman" w:cs="Times New Roman"/>
          <w:sz w:val="24"/>
          <w:szCs w:val="24"/>
        </w:rPr>
      </w:pPr>
      <w:r>
        <w:rPr>
          <w:rFonts w:ascii="Times New Roman" w:eastAsia="Helvetica Neue" w:hAnsi="Times New Roman" w:cs="Times New Roman"/>
          <w:sz w:val="24"/>
          <w:szCs w:val="24"/>
        </w:rPr>
        <w:t>Шершеневич Г. Ф. Учебник торгового права: учебник для вузов / Г. Ф. Шершеневич ; предисловие В. А. Белова — М. : Издательство Юрайт – 2016. – 335 с.</w:t>
      </w:r>
    </w:p>
    <w:p w14:paraId="36DF2409" w14:textId="77777777" w:rsidR="001B6C3B" w:rsidRDefault="001B6C3B" w:rsidP="00E3198A">
      <w:pPr>
        <w:pStyle w:val="a4"/>
        <w:numPr>
          <w:ilvl w:val="0"/>
          <w:numId w:val="2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eastAsia="Helvetica Neue" w:hAnsi="Times New Roman" w:cs="Times New Roman"/>
          <w:sz w:val="24"/>
          <w:szCs w:val="24"/>
        </w:rPr>
      </w:pPr>
      <w:r>
        <w:rPr>
          <w:rFonts w:ascii="Times New Roman" w:eastAsia="Helvetica Neue" w:hAnsi="Times New Roman" w:cs="Times New Roman"/>
          <w:sz w:val="24"/>
          <w:szCs w:val="24"/>
        </w:rPr>
        <w:t>Кулагин М. И. Избранные труды. – М.: Статут –  1997. – 281 с.</w:t>
      </w:r>
    </w:p>
    <w:p w14:paraId="29763C19" w14:textId="77777777" w:rsidR="001B6C3B" w:rsidRDefault="001B6C3B" w:rsidP="00E3198A">
      <w:pPr>
        <w:pStyle w:val="a4"/>
        <w:numPr>
          <w:ilvl w:val="0"/>
          <w:numId w:val="2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eastAsia="Helvetica Neue" w:hAnsi="Times New Roman" w:cs="Times New Roman"/>
          <w:sz w:val="24"/>
          <w:szCs w:val="24"/>
        </w:rPr>
      </w:pPr>
      <w:r>
        <w:rPr>
          <w:rFonts w:ascii="Times New Roman" w:eastAsia="Helvetica Neue" w:hAnsi="Times New Roman" w:cs="Times New Roman"/>
          <w:sz w:val="24"/>
          <w:szCs w:val="24"/>
        </w:rPr>
        <w:t>Игбаева Гузель Римовна, Шакирова Зульфия Римовна.  Квалифицирующие признаки предпринимательской деятельности // Евразийская адвокатура. – 2018. – №2 (33). – С. 53-56.</w:t>
      </w:r>
    </w:p>
    <w:p w14:paraId="37EC41DB" w14:textId="77777777" w:rsidR="001B6C3B" w:rsidRDefault="001B6C3B" w:rsidP="00E3198A">
      <w:pPr>
        <w:pStyle w:val="a4"/>
        <w:numPr>
          <w:ilvl w:val="0"/>
          <w:numId w:val="2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eastAsia="Helvetica Neue" w:hAnsi="Times New Roman" w:cs="Times New Roman"/>
          <w:sz w:val="24"/>
          <w:szCs w:val="24"/>
        </w:rPr>
      </w:pPr>
      <w:r>
        <w:rPr>
          <w:rFonts w:ascii="Times New Roman" w:eastAsia="Helvetica Neue" w:hAnsi="Times New Roman" w:cs="Times New Roman"/>
          <w:sz w:val="24"/>
          <w:szCs w:val="24"/>
        </w:rPr>
        <w:t>Еникеев А. А., Шаповалов А. В. Юридическая и философская герменевтика: сравнительный анализ // Евразийский юридический журнал. – 2020. – №2 (141). – С. 104-108.</w:t>
      </w:r>
    </w:p>
    <w:p w14:paraId="7DA73FED" w14:textId="77777777" w:rsidR="001B6C3B" w:rsidRDefault="001B6C3B" w:rsidP="00E3198A">
      <w:pPr>
        <w:pStyle w:val="a4"/>
        <w:numPr>
          <w:ilvl w:val="0"/>
          <w:numId w:val="2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eastAsia="Helvetica Neue" w:hAnsi="Times New Roman" w:cs="Times New Roman"/>
          <w:sz w:val="24"/>
          <w:szCs w:val="24"/>
        </w:rPr>
      </w:pPr>
      <w:r>
        <w:rPr>
          <w:rFonts w:ascii="Times New Roman" w:eastAsia="Helvetica Neue" w:hAnsi="Times New Roman" w:cs="Times New Roman"/>
          <w:sz w:val="24"/>
          <w:szCs w:val="24"/>
        </w:rPr>
        <w:t xml:space="preserve">Губин, Е.П. Предпринимательское право Российской Федерации: учебник /Е.П. Губин, П.Г. Лахно. – 3-е изд., перераб. и доп. – М.: Юр. Норма, НИЦ ИНФРА-М. – 2017. </w:t>
      </w:r>
      <w:r>
        <w:rPr>
          <w:rFonts w:ascii="Times New Roman" w:eastAsia="Helvetica Neue" w:hAnsi="Times New Roman" w:cs="Times New Roman"/>
          <w:sz w:val="24"/>
          <w:szCs w:val="24"/>
        </w:rPr>
        <w:softHyphen/>
        <w:t>– 992 c.</w:t>
      </w:r>
    </w:p>
    <w:p w14:paraId="144C7158" w14:textId="77777777" w:rsidR="001B6C3B" w:rsidRDefault="001B6C3B" w:rsidP="001B6C3B">
      <w:pPr>
        <w:pStyle w:val="a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709"/>
        <w:jc w:val="both"/>
        <w:rPr>
          <w:rFonts w:ascii="Times New Roman" w:eastAsia="Helvetica Neue" w:hAnsi="Times New Roman" w:cs="Times New Roman"/>
          <w:sz w:val="24"/>
          <w:szCs w:val="24"/>
        </w:rPr>
      </w:pPr>
      <w:r>
        <w:rPr>
          <w:rFonts w:ascii="Times New Roman" w:eastAsia="Helvetica Neue" w:hAnsi="Times New Roman" w:cs="Times New Roman"/>
          <w:sz w:val="24"/>
          <w:szCs w:val="24"/>
        </w:rPr>
        <w:t>.</w:t>
      </w:r>
    </w:p>
    <w:p w14:paraId="53A4F56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Helvetica Neue" w:hAnsi="Times New Roman" w:cs="Times New Roman"/>
          <w:sz w:val="24"/>
          <w:szCs w:val="24"/>
        </w:rPr>
        <w:sectPr w:rsidR="001B6C3B">
          <w:footnotePr>
            <w:numRestart w:val="eachPage"/>
          </w:footnotePr>
          <w:pgSz w:w="11906" w:h="16838"/>
          <w:pgMar w:top="1134" w:right="1134" w:bottom="1134" w:left="1134" w:header="709" w:footer="709" w:gutter="0"/>
          <w:cols w:space="720"/>
        </w:sectPr>
      </w:pPr>
    </w:p>
    <w:p w14:paraId="7A66CE8C" w14:textId="77777777" w:rsidR="001B6C3B" w:rsidRDefault="001B6C3B" w:rsidP="001B6C3B">
      <w:pPr>
        <w:pStyle w:val="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rStyle w:val="FontStyle19"/>
          <w:sz w:val="24"/>
          <w:szCs w:val="24"/>
        </w:rPr>
      </w:pPr>
      <w:r>
        <w:rPr>
          <w:rStyle w:val="FontStyle19"/>
          <w:sz w:val="24"/>
          <w:szCs w:val="24"/>
        </w:rPr>
        <w:lastRenderedPageBreak/>
        <w:t>УДК 349.414</w:t>
      </w:r>
    </w:p>
    <w:p w14:paraId="550ECD2A" w14:textId="77777777" w:rsidR="001B6C3B" w:rsidRDefault="001B6C3B" w:rsidP="001B6C3B">
      <w:pPr>
        <w:pStyle w:val="Style3"/>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4678"/>
        <w:jc w:val="center"/>
        <w:rPr>
          <w:rStyle w:val="FontStyle19"/>
          <w:b/>
          <w:i w:val="0"/>
          <w:caps/>
        </w:rPr>
      </w:pPr>
    </w:p>
    <w:p w14:paraId="33E1AB4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ind w:left="4678" w:right="-6"/>
        <w:rPr>
          <w:sz w:val="24"/>
          <w:szCs w:val="24"/>
        </w:rPr>
      </w:pPr>
      <w:r>
        <w:rPr>
          <w:rFonts w:ascii="Times New Roman" w:hAnsi="Times New Roman" w:cs="Times New Roman"/>
          <w:b/>
          <w:sz w:val="24"/>
          <w:szCs w:val="24"/>
        </w:rPr>
        <w:t>Оганезов Эдгар Маратович</w:t>
      </w:r>
    </w:p>
    <w:p w14:paraId="7374DFF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ind w:left="4678" w:right="-6"/>
        <w:rPr>
          <w:rFonts w:ascii="Times New Roman" w:hAnsi="Times New Roman" w:cs="Times New Roman"/>
          <w:b/>
          <w:sz w:val="24"/>
          <w:szCs w:val="24"/>
          <w:lang w:val="en-US"/>
        </w:rPr>
      </w:pPr>
      <w:r>
        <w:rPr>
          <w:rFonts w:ascii="Times New Roman" w:hAnsi="Times New Roman" w:cs="Times New Roman"/>
          <w:b/>
          <w:sz w:val="24"/>
          <w:szCs w:val="24"/>
          <w:lang w:val="en-US"/>
        </w:rPr>
        <w:t>Oganezov Edgar Maratovich</w:t>
      </w:r>
    </w:p>
    <w:p w14:paraId="65C1F04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678"/>
        <w:jc w:val="both"/>
        <w:rPr>
          <w:rFonts w:ascii="Times New Roman" w:hAnsi="Times New Roman" w:cs="Times New Roman"/>
          <w:sz w:val="24"/>
          <w:szCs w:val="24"/>
        </w:rPr>
      </w:pPr>
      <w:r>
        <w:rPr>
          <w:rFonts w:ascii="Times New Roman" w:hAnsi="Times New Roman" w:cs="Times New Roman"/>
          <w:sz w:val="24"/>
          <w:szCs w:val="24"/>
        </w:rPr>
        <w:t>магистрант юридического факультета Федеральное государственное бюджетное образовательное учреждение высшего образования «Кубанский государственный аграрный университет имени И.Т. Трубилина»</w:t>
      </w:r>
    </w:p>
    <w:p w14:paraId="5C2AFDD9"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678"/>
        <w:jc w:val="both"/>
        <w:rPr>
          <w:lang w:eastAsia="en-US"/>
        </w:rPr>
      </w:pPr>
      <w:r>
        <w:rPr>
          <w:lang w:eastAsia="en-US"/>
        </w:rPr>
        <w:t>Federal State Budgetary Educational Institution of Higher Education “Kuban State Agrarian University named after I.T. Trubilin”</w:t>
      </w:r>
    </w:p>
    <w:p w14:paraId="785960EB"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678"/>
        <w:jc w:val="both"/>
        <w:rPr>
          <w:lang w:val="ru-RU" w:eastAsia="en-US"/>
        </w:rPr>
      </w:pPr>
      <w:r>
        <w:rPr>
          <w:lang w:val="ru-RU" w:eastAsia="en-US"/>
        </w:rPr>
        <w:t>Российская Федерация, г. Краснодар</w:t>
      </w:r>
    </w:p>
    <w:p w14:paraId="17E81794"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678"/>
        <w:jc w:val="both"/>
        <w:rPr>
          <w:lang w:val="ru-RU" w:eastAsia="en-US"/>
        </w:rPr>
      </w:pPr>
      <w:r>
        <w:rPr>
          <w:lang w:eastAsia="en-US"/>
        </w:rPr>
        <w:t>Russian</w:t>
      </w:r>
      <w:r>
        <w:rPr>
          <w:lang w:val="ru-RU" w:eastAsia="en-US"/>
        </w:rPr>
        <w:t xml:space="preserve"> </w:t>
      </w:r>
      <w:r>
        <w:rPr>
          <w:lang w:eastAsia="en-US"/>
        </w:rPr>
        <w:t>Federation</w:t>
      </w:r>
      <w:r>
        <w:rPr>
          <w:lang w:val="ru-RU" w:eastAsia="en-US"/>
        </w:rPr>
        <w:t xml:space="preserve">, </w:t>
      </w:r>
      <w:r>
        <w:rPr>
          <w:lang w:eastAsia="en-US"/>
        </w:rPr>
        <w:t>Krasnodar</w:t>
      </w:r>
    </w:p>
    <w:p w14:paraId="3DDD3426" w14:textId="77777777" w:rsidR="001B6C3B" w:rsidRDefault="00EE7838"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4678" w:right="-6"/>
        <w:rPr>
          <w:rFonts w:ascii="Times New Roman" w:hAnsi="Times New Roman" w:cs="Times New Roman"/>
          <w:sz w:val="24"/>
          <w:szCs w:val="24"/>
        </w:rPr>
      </w:pPr>
      <w:hyperlink r:id="rId31" w:history="1">
        <w:r w:rsidR="001B6C3B">
          <w:rPr>
            <w:rStyle w:val="a9"/>
            <w:rFonts w:ascii="Times New Roman" w:hAnsi="Times New Roman" w:cs="Times New Roman"/>
            <w:sz w:val="24"/>
            <w:szCs w:val="24"/>
            <w:lang w:val="en-US"/>
          </w:rPr>
          <w:t>Mark</w:t>
        </w:r>
        <w:r w:rsidR="001B6C3B">
          <w:rPr>
            <w:rStyle w:val="a9"/>
            <w:rFonts w:ascii="Times New Roman" w:hAnsi="Times New Roman" w:cs="Times New Roman"/>
            <w:sz w:val="24"/>
            <w:szCs w:val="24"/>
          </w:rPr>
          <w:t>97</w:t>
        </w:r>
        <w:r w:rsidR="001B6C3B">
          <w:rPr>
            <w:rStyle w:val="a9"/>
            <w:rFonts w:ascii="Times New Roman" w:hAnsi="Times New Roman" w:cs="Times New Roman"/>
            <w:sz w:val="24"/>
            <w:szCs w:val="24"/>
            <w:lang w:val="en-US"/>
          </w:rPr>
          <w:t>ru</w:t>
        </w:r>
        <w:r w:rsidR="001B6C3B">
          <w:rPr>
            <w:rStyle w:val="a9"/>
            <w:rFonts w:ascii="Times New Roman" w:hAnsi="Times New Roman" w:cs="Times New Roman"/>
            <w:sz w:val="24"/>
            <w:szCs w:val="24"/>
          </w:rPr>
          <w:t>@</w:t>
        </w:r>
        <w:r w:rsidR="001B6C3B">
          <w:rPr>
            <w:rStyle w:val="a9"/>
            <w:rFonts w:ascii="Times New Roman" w:hAnsi="Times New Roman" w:cs="Times New Roman"/>
            <w:sz w:val="24"/>
            <w:szCs w:val="24"/>
            <w:lang w:val="en-US"/>
          </w:rPr>
          <w:t>mail</w:t>
        </w:r>
        <w:r w:rsidR="001B6C3B">
          <w:rPr>
            <w:rStyle w:val="a9"/>
            <w:rFonts w:ascii="Times New Roman" w:hAnsi="Times New Roman" w:cs="Times New Roman"/>
            <w:sz w:val="24"/>
            <w:szCs w:val="24"/>
          </w:rPr>
          <w:t>.</w:t>
        </w:r>
        <w:r w:rsidR="001B6C3B">
          <w:rPr>
            <w:rStyle w:val="a9"/>
            <w:rFonts w:ascii="Times New Roman" w:hAnsi="Times New Roman" w:cs="Times New Roman"/>
            <w:sz w:val="24"/>
            <w:szCs w:val="24"/>
            <w:lang w:val="en-US"/>
          </w:rPr>
          <w:t>ru</w:t>
        </w:r>
      </w:hyperlink>
    </w:p>
    <w:p w14:paraId="6A26762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4678" w:right="-6"/>
        <w:rPr>
          <w:rFonts w:ascii="Times New Roman" w:hAnsi="Times New Roman" w:cs="Times New Roman"/>
          <w:b/>
          <w:sz w:val="24"/>
          <w:szCs w:val="24"/>
        </w:rPr>
      </w:pPr>
      <w:r>
        <w:rPr>
          <w:rFonts w:ascii="Times New Roman" w:hAnsi="Times New Roman" w:cs="Times New Roman"/>
          <w:b/>
          <w:sz w:val="24"/>
          <w:szCs w:val="24"/>
        </w:rPr>
        <w:t xml:space="preserve">Научный руководитель: </w:t>
      </w:r>
    </w:p>
    <w:p w14:paraId="608FF35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4678" w:right="-6"/>
        <w:rPr>
          <w:rFonts w:ascii="Times New Roman" w:hAnsi="Times New Roman" w:cs="Times New Roman"/>
          <w:b/>
          <w:sz w:val="24"/>
          <w:szCs w:val="24"/>
        </w:rPr>
      </w:pPr>
      <w:r>
        <w:rPr>
          <w:rFonts w:ascii="Times New Roman" w:hAnsi="Times New Roman" w:cs="Times New Roman"/>
          <w:b/>
          <w:sz w:val="24"/>
          <w:szCs w:val="24"/>
        </w:rPr>
        <w:t>Камышанский Владимир Павлович</w:t>
      </w:r>
    </w:p>
    <w:p w14:paraId="0D7802E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4678" w:right="-6"/>
        <w:rPr>
          <w:rFonts w:ascii="Times New Roman" w:hAnsi="Times New Roman" w:cs="Times New Roman"/>
          <w:sz w:val="24"/>
          <w:szCs w:val="24"/>
        </w:rPr>
      </w:pPr>
      <w:r>
        <w:rPr>
          <w:rFonts w:ascii="Times New Roman" w:hAnsi="Times New Roman" w:cs="Times New Roman"/>
          <w:sz w:val="24"/>
          <w:szCs w:val="24"/>
        </w:rPr>
        <w:t>доктор юридических наук, профессор</w:t>
      </w:r>
    </w:p>
    <w:p w14:paraId="5014937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2835" w:right="-6"/>
        <w:rPr>
          <w:rFonts w:ascii="Times New Roman" w:hAnsi="Times New Roman" w:cs="Times New Roman"/>
          <w:sz w:val="24"/>
          <w:szCs w:val="24"/>
        </w:rPr>
      </w:pPr>
    </w:p>
    <w:p w14:paraId="406A0882" w14:textId="77777777" w:rsidR="001B6C3B" w:rsidRDefault="001B6C3B" w:rsidP="001B6C3B">
      <w:pPr>
        <w:pStyle w:val="Style3"/>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Style w:val="FontStyle19"/>
          <w:b/>
          <w:i w:val="0"/>
          <w:caps/>
        </w:rPr>
      </w:pPr>
    </w:p>
    <w:p w14:paraId="3ED5399F" w14:textId="77777777" w:rsidR="001B6C3B" w:rsidRDefault="001B6C3B" w:rsidP="001B6C3B">
      <w:pPr>
        <w:pStyle w:val="Style3"/>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Style w:val="FontStyle19"/>
          <w:b/>
          <w:i w:val="0"/>
          <w:caps/>
        </w:rPr>
      </w:pPr>
      <w:r>
        <w:rPr>
          <w:rStyle w:val="FontStyle19"/>
          <w:caps/>
        </w:rPr>
        <w:t>ПРОБЛЕМЫ ПРАВОВОГО РЕГУЛИРОВАНИЯ РЕЗЕРВИРОВАНИЯ ЗЕМЕЛЬ</w:t>
      </w:r>
    </w:p>
    <w:p w14:paraId="15104CCD" w14:textId="77777777" w:rsidR="001B6C3B" w:rsidRDefault="001B6C3B" w:rsidP="001B6C3B">
      <w:pPr>
        <w:pStyle w:val="Style3"/>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pPr>
      <w:r>
        <w:rPr>
          <w:b/>
          <w:iCs/>
          <w:caps/>
        </w:rPr>
        <w:br/>
        <w:t>LEGAL REGULATION PROBLEMS OF LAND RESERVATION</w:t>
      </w:r>
    </w:p>
    <w:p w14:paraId="2D5F0541" w14:textId="77777777" w:rsidR="001B6C3B" w:rsidRDefault="001B6C3B" w:rsidP="001B6C3B">
      <w:pPr>
        <w:pStyle w:val="Style3"/>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b/>
          <w:iCs/>
          <w:caps/>
        </w:rPr>
      </w:pPr>
    </w:p>
    <w:p w14:paraId="31594B9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851"/>
        <w:jc w:val="both"/>
        <w:rPr>
          <w:rFonts w:ascii="Times New Roman" w:hAnsi="Times New Roman" w:cs="Times New Roman"/>
          <w:sz w:val="24"/>
          <w:szCs w:val="24"/>
        </w:rPr>
      </w:pPr>
      <w:r>
        <w:rPr>
          <w:rFonts w:ascii="Times New Roman" w:hAnsi="Times New Roman" w:cs="Times New Roman"/>
          <w:i/>
          <w:sz w:val="24"/>
          <w:szCs w:val="24"/>
        </w:rPr>
        <w:t>Аннотация:</w:t>
      </w:r>
      <w:r>
        <w:rPr>
          <w:rFonts w:ascii="Times New Roman" w:hAnsi="Times New Roman" w:cs="Times New Roman"/>
          <w:sz w:val="24"/>
          <w:szCs w:val="24"/>
        </w:rPr>
        <w:t xml:space="preserve"> в настоящей статье рассматриваются проблемы правового регулирования для государственных и муниципальных нужд. Отмечаются пробелы законодательства, регулирующий данный институт, которые в большинстве своем связаны с низким уровнем законодательного регулирования процедуры резервирования земельных участков для государственных и муниципальных нужд. Предлагаются пути решения указанных проблем и меры по развитию законодательства в сфере резервирования земель для государственных и муниципальных нужд.</w:t>
      </w:r>
    </w:p>
    <w:p w14:paraId="49B64D9A" w14:textId="77777777" w:rsidR="001B6C3B" w:rsidRDefault="001B6C3B" w:rsidP="001B6C3B">
      <w:pPr>
        <w:pStyle w:val="Style3"/>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851"/>
      </w:pPr>
      <w:r>
        <w:rPr>
          <w:bCs/>
          <w:i/>
        </w:rPr>
        <w:t>Ключевые слова</w:t>
      </w:r>
      <w:r>
        <w:rPr>
          <w:b/>
          <w:i/>
        </w:rPr>
        <w:t xml:space="preserve">: </w:t>
      </w:r>
      <w:r>
        <w:t xml:space="preserve">земля, земельный участок, резервирование, изъятие земель, государственные нужды, муниципальные нужды, оборотоспособность, возмещение убытков, ограничение прав, компенсация. </w:t>
      </w:r>
    </w:p>
    <w:p w14:paraId="71CBF40B" w14:textId="77777777" w:rsidR="001B6C3B" w:rsidRDefault="001B6C3B" w:rsidP="001B6C3B">
      <w:pPr>
        <w:pStyle w:val="Style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851"/>
        <w:rPr>
          <w:rStyle w:val="FontStyle19"/>
          <w:lang w:val="en-US"/>
        </w:rPr>
      </w:pPr>
      <w:r>
        <w:rPr>
          <w:rStyle w:val="FontStyle19"/>
          <w:lang w:val="en-US"/>
        </w:rPr>
        <w:t>Аnnotation: t</w:t>
      </w:r>
      <w:r>
        <w:rPr>
          <w:iCs/>
          <w:lang w:val="en"/>
        </w:rPr>
        <w:t>his article discusses the problems of legal regulation for state and municipal needs. There are gaps in the legislation governing this institution, which are mostly associated with a low level of legislative regulation of the procedure for reservation of land for state and municipal needs. Ways to solve these problems and measures to develop legislation in the field of land reservation for state and municipal needs are proposed.</w:t>
      </w:r>
    </w:p>
    <w:p w14:paraId="385E47CD" w14:textId="77777777" w:rsidR="001B6C3B" w:rsidRPr="00430C1C" w:rsidRDefault="001B6C3B" w:rsidP="001B6C3B">
      <w:pPr>
        <w:pStyle w:val="Style3"/>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851"/>
        <w:rPr>
          <w:lang w:val="en-US"/>
        </w:rPr>
      </w:pPr>
      <w:r>
        <w:rPr>
          <w:rStyle w:val="FontStyle19"/>
          <w:lang w:val="en-US"/>
        </w:rPr>
        <w:t xml:space="preserve">Keywords: </w:t>
      </w:r>
      <w:r>
        <w:rPr>
          <w:iCs/>
          <w:lang w:val="en-US"/>
        </w:rPr>
        <w:t>land, land, reservation, land acquisition, state needs, municipal needs, turnover, redress, restriction of rights, compensation.</w:t>
      </w:r>
    </w:p>
    <w:p w14:paraId="13F55C6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Земля является основой жизнедеятельности человека и имеет многофункциональную значимость для общества, а ее использование необходимо для удовлетворения не только частных интересов, но и публичных. Этим объясняет наличие большого объема элементов публично-правового регулирования в области земельных отношений.   </w:t>
      </w:r>
    </w:p>
    <w:p w14:paraId="46E7194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lastRenderedPageBreak/>
        <w:t>Однако, несмотря на то, что статьей 9 Конституции РФ установлена презумпция приоритета публичных интересов в области регулирования земельных отношений, существует необходимость обеспечения баланса интересов публичных и частных</w:t>
      </w:r>
      <w:r>
        <w:rPr>
          <w:rStyle w:val="a7"/>
          <w:rFonts w:ascii="Times New Roman" w:eastAsia="Calibri" w:hAnsi="Times New Roman" w:cs="Times New Roman"/>
          <w:sz w:val="24"/>
          <w:szCs w:val="24"/>
        </w:rPr>
        <w:footnoteReference w:id="260"/>
      </w:r>
      <w:r>
        <w:rPr>
          <w:rFonts w:ascii="Times New Roman" w:eastAsia="Calibri" w:hAnsi="Times New Roman" w:cs="Times New Roman"/>
          <w:sz w:val="24"/>
          <w:szCs w:val="24"/>
        </w:rPr>
        <w:t xml:space="preserve">. </w:t>
      </w:r>
    </w:p>
    <w:p w14:paraId="2AC1EA0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О необходимости учета многообразия общественных (публичных) и индивидуальных интересов, их сочетания и взаимодействия для достижения баланса законных интересов, взаимоотношения личности с обществом высказывались В. Д. Зорькин и Л. В. Лазарев</w:t>
      </w:r>
      <w:r>
        <w:rPr>
          <w:rStyle w:val="a7"/>
          <w:rFonts w:ascii="Times New Roman" w:eastAsia="Calibri" w:hAnsi="Times New Roman" w:cs="Times New Roman"/>
          <w:sz w:val="24"/>
          <w:szCs w:val="24"/>
        </w:rPr>
        <w:footnoteReference w:id="261"/>
      </w:r>
      <w:r>
        <w:rPr>
          <w:rFonts w:ascii="Times New Roman" w:eastAsia="Calibri" w:hAnsi="Times New Roman" w:cs="Times New Roman"/>
          <w:sz w:val="24"/>
          <w:szCs w:val="24"/>
        </w:rPr>
        <w:t xml:space="preserve">. </w:t>
      </w:r>
    </w:p>
    <w:p w14:paraId="6C3ACBB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Отражение в полной мере баланса публичных и частных интересов применительно к ограничению оборотоспособности земельных участков можно найти в земельном законодательстве, но не в гражданском, поскольку именно нормы земельного законодательства предусматривают случаи частичной свободы частного интереса при существовании преобладающего публичного (ограниченные в обороте земли), невозможности осуществления частного интереса в полной мере в связи с наличием публичного интереса (изъятые из оборота земли). </w:t>
      </w:r>
    </w:p>
    <w:p w14:paraId="26A6949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При исследовании вопроса связанного с ограничением оборотоспособности земельных участков следует обратить внимание в рамках настоящего исследования на резервирование земельных участков для государственных и муниципальных нужд.</w:t>
      </w:r>
    </w:p>
    <w:p w14:paraId="5F9EF54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Анализ норм о резервировании земель позволяет сделать вывод о том, что это определенный промежуточный этап перед предполагаем изъятием земельного участка для государственных и муниципальных нужд, в целях создания благоприятных условий для развития указанных земель и их использования.</w:t>
      </w:r>
    </w:p>
    <w:p w14:paraId="7034031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Под резервированием земельных участков в качестве одной из форм ограничения оборотоспособности следует понимать установленный на определенный период запрет на передачу в собственность граждан и юридических лиц земельных участков, находящихся в государственной или муниципальной собственности</w:t>
      </w:r>
      <w:r>
        <w:rPr>
          <w:rStyle w:val="a7"/>
          <w:rFonts w:ascii="Times New Roman" w:eastAsia="Calibri" w:hAnsi="Times New Roman" w:cs="Times New Roman"/>
          <w:sz w:val="24"/>
          <w:szCs w:val="24"/>
        </w:rPr>
        <w:footnoteReference w:id="262"/>
      </w:r>
      <w:r>
        <w:rPr>
          <w:rFonts w:ascii="Times New Roman" w:eastAsia="Calibri" w:hAnsi="Times New Roman" w:cs="Times New Roman"/>
          <w:sz w:val="24"/>
          <w:szCs w:val="24"/>
        </w:rPr>
        <w:t xml:space="preserve">. </w:t>
      </w:r>
    </w:p>
    <w:p w14:paraId="1666D3C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Указанные выше понятия сформулированы на основе положений, регулирующих отношения по резервированию земельных участков, но ни одно из них нельзя назвать исчерпывающим, так как в настоящее время нормы о резервировании земельных участков не позволяют четко определить правовую природу данного явления.</w:t>
      </w:r>
    </w:p>
    <w:p w14:paraId="01D77E7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Если процедура изъятия земельных участков для государственных и муниципальных нужд существовала давно, то резервирование является относительно новой процедурой и в настоящий момент законодательно недостаточно урегулированной. В определенный период органами законодательной власти поднимался вопрос об усовершенствовании правового регулирования порядка резервирования земельных участков для государственных или муниципальных нужд. Для этих целей предлагалось принять специальный федеральный закон, в итоге законодатель пришел к выводу о том, что достаточно будет внести изменения в существующие законодательные акты. Правительством РФ был внесен в Государственную Думу ФС РФ и принят ею в первом чтении проект федерального закона № 321847-4, в соответствии с которым предполагалось дополнить ЗК РФ специальной главой «Резервирование земельных участков», в которой содержались бы статьи, определяющие задачи резервирования земельных участков, органы, осуществляющие резервирование земельных участков, порядок принятия решений о резервировании земельных участков, сроки резервирования земельных участков, ограничения прав на земельные участки в связи с их резервированием, основания прекращения действия решения о резервировании земельного участка, то есть максимально конкретизировать правовую природу данного явления.</w:t>
      </w:r>
    </w:p>
    <w:p w14:paraId="431A864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lastRenderedPageBreak/>
        <w:t>Однако Федеральным законом от 10 мая 2007 г. № 69-ФЗ «О внесении изменений в отдельные законодательные акты Российской Федерации в части установления порядка резервирования земель для государственных или муниципальных нужд» (далее — Федеральный закон № 69-ФЗ) в ЗК РФ включены только две статьи, посвященные резервированию земельных участков: ст. 56.1 «Ограничения прав на землю в связи с резервированием земель для государственных или муниципальных нужд» и ст. 70.1 «Резервирование земель для государственных или муниципальных нужд», согласно пункту 4 которой установлено, что  </w:t>
      </w:r>
      <w:hyperlink r:id="rId32" w:anchor="dst100013" w:history="1">
        <w:r>
          <w:rPr>
            <w:rStyle w:val="a9"/>
            <w:rFonts w:ascii="Times New Roman" w:eastAsia="Calibri" w:hAnsi="Times New Roman" w:cs="Times New Roman"/>
            <w:sz w:val="24"/>
            <w:szCs w:val="24"/>
          </w:rPr>
          <w:t>порядок</w:t>
        </w:r>
      </w:hyperlink>
      <w:r>
        <w:rPr>
          <w:rFonts w:ascii="Times New Roman" w:eastAsia="Calibri" w:hAnsi="Times New Roman" w:cs="Times New Roman"/>
          <w:sz w:val="24"/>
          <w:szCs w:val="24"/>
        </w:rPr>
        <w:t> резервирования земель для государственных или муниципальных нужд определяется Правительством Российской Федерации.</w:t>
      </w:r>
    </w:p>
    <w:p w14:paraId="6B9E015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Отсутствие специального регулирования отношений по резервированию земельных участков и наличие недостатков в существующих нормах, позволяет сделать вывод о низком уровне законодательного регулирования указанных отношений.</w:t>
      </w:r>
    </w:p>
    <w:p w14:paraId="27A7977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В соответствии с положениями ст. 70.1 ЗК РФ резервирование земель для государственных или муниципальных нужд осуществляется в случаях, предусмотренных статьей 49 Кодекса, а земель, находящихся в государственной или муниципальной собственности и не предоставленных гражданам и юридическим лицам, также в случаях, связанных с размещением соответствующих объектов, созданием особо охраняемых природных территорий и др. По нашему мнению отождествление оснований резервирования земельных участков с основаниями изъятия земельных участков для государственных или муниципальных нужд является ошибочным и не указывает на самостоятельность данной процедуры. Для устранения данного недостатка было бы правильным сформулировать положения об основаниях резервирования земельных участков для государственных и муниципальных нужд следующим образом: «основаниями резервирования земельных участков для государственных и муниципальных нужд является планирование изъятия земельного участка для таких нужд по основаниям, установленным статьей 49 ЗК РФ в течение трех лет с момента издания акта о резервировании». Данная формулировка подчеркивает смежность данных понятий, но не их идентичность, на которую указывает действующее законодательство.</w:t>
      </w:r>
    </w:p>
    <w:p w14:paraId="636A971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Следует отметить, что основанием для резервирования земель могут быть не только государственные и муниципальные нужды, но и градостроительные, а также иные социально-значимые цели</w:t>
      </w:r>
      <w:r>
        <w:rPr>
          <w:rStyle w:val="a7"/>
          <w:rFonts w:ascii="Times New Roman" w:eastAsia="Calibri" w:hAnsi="Times New Roman" w:cs="Times New Roman"/>
          <w:sz w:val="24"/>
          <w:szCs w:val="24"/>
        </w:rPr>
        <w:footnoteReference w:id="263"/>
      </w:r>
      <w:r>
        <w:rPr>
          <w:rFonts w:ascii="Times New Roman" w:eastAsia="Calibri" w:hAnsi="Times New Roman" w:cs="Times New Roman"/>
          <w:sz w:val="24"/>
          <w:szCs w:val="24"/>
        </w:rPr>
        <w:t>.</w:t>
      </w:r>
    </w:p>
    <w:p w14:paraId="0B33CFB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Процедура резервирование земель также регулируется Постановлением Правительства РФ от 22 июля 2008 г. № 561 «О некоторых вопросах, связанных с резервированием земель для государственных или муниципальных нужд» утверждено Положение о резервировании земель для государственных или муниципальных нужд, которым установлены общие требования к порядку резервирования</w:t>
      </w:r>
      <w:r>
        <w:rPr>
          <w:rStyle w:val="a7"/>
          <w:rFonts w:ascii="Times New Roman" w:eastAsia="Calibri" w:hAnsi="Times New Roman" w:cs="Times New Roman"/>
          <w:sz w:val="24"/>
          <w:szCs w:val="24"/>
        </w:rPr>
        <w:footnoteReference w:id="264"/>
      </w:r>
      <w:r>
        <w:rPr>
          <w:rFonts w:ascii="Times New Roman" w:eastAsia="Calibri" w:hAnsi="Times New Roman" w:cs="Times New Roman"/>
          <w:sz w:val="24"/>
          <w:szCs w:val="24"/>
        </w:rPr>
        <w:t xml:space="preserve">. </w:t>
      </w:r>
    </w:p>
    <w:p w14:paraId="5DB437F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К числу недостатков данного Положения следует отнести то обстоятельство, что в нем отсутствует положения об ограничении оборотоспособности резервируемых земель. Данный правовой пробел предлагается устранить путем включения в Положение норм о том, что решение о резервировании влечет ограничение оборотоспособности земельных участков, входящих в состав резервируемых земель, относящихся к государственной или муниципальной собственности. В указанном положении  отсутствуют четкие критерии индивидуализации резервируемого объекта. В соответствии с пунктом 4 данного Положения подготовка решения о резервировании земель осуществляется на основании сведений государственного кадастра недвижимости, однако отсутствует требование на необходимость </w:t>
      </w:r>
      <w:r>
        <w:rPr>
          <w:rFonts w:ascii="Times New Roman" w:eastAsia="Calibri" w:hAnsi="Times New Roman" w:cs="Times New Roman"/>
          <w:sz w:val="24"/>
          <w:szCs w:val="24"/>
        </w:rPr>
        <w:lastRenderedPageBreak/>
        <w:t>указания данных сведений в решении о резервировании земельного участка для государственных и муниципальных нужд.</w:t>
      </w:r>
    </w:p>
    <w:p w14:paraId="65D4813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Кроме того, в литературе обоснованно обращается внимание на следующие проблемы, связанные с резервированием земель: во-первых, отсутствие сведений о резервировании земель в кадастре, во-вторых, фактическое отсутствие конкретных целей резервирования земель в нормах, содержащихся в настоящее время в Земельном кодексе РФ</w:t>
      </w:r>
      <w:r>
        <w:rPr>
          <w:rStyle w:val="a7"/>
          <w:rFonts w:ascii="Times New Roman" w:eastAsia="Calibri" w:hAnsi="Times New Roman" w:cs="Times New Roman"/>
          <w:sz w:val="24"/>
          <w:szCs w:val="24"/>
        </w:rPr>
        <w:footnoteReference w:id="265"/>
      </w:r>
      <w:r>
        <w:rPr>
          <w:rFonts w:ascii="Times New Roman" w:eastAsia="Calibri" w:hAnsi="Times New Roman" w:cs="Times New Roman"/>
          <w:sz w:val="24"/>
          <w:szCs w:val="24"/>
        </w:rPr>
        <w:t xml:space="preserve">. </w:t>
      </w:r>
    </w:p>
    <w:p w14:paraId="246EA79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Другие ученые также правильно обращают внимание на необходимость четкого законодательного урегулирования вопроса в сфере государственной регистрации земельных участков, резервируемых для государственных или муниципальных нужд</w:t>
      </w:r>
      <w:r>
        <w:rPr>
          <w:rStyle w:val="a7"/>
          <w:rFonts w:ascii="Times New Roman" w:eastAsia="Calibri" w:hAnsi="Times New Roman" w:cs="Times New Roman"/>
          <w:sz w:val="24"/>
          <w:szCs w:val="24"/>
        </w:rPr>
        <w:footnoteReference w:id="266"/>
      </w:r>
      <w:r>
        <w:rPr>
          <w:rFonts w:ascii="Times New Roman" w:eastAsia="Calibri" w:hAnsi="Times New Roman" w:cs="Times New Roman"/>
          <w:sz w:val="24"/>
          <w:szCs w:val="24"/>
        </w:rPr>
        <w:t>.</w:t>
      </w:r>
    </w:p>
    <w:p w14:paraId="4420796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По своей сущности резервирование земельного участка влечет ограничение прав других пользователей (возможных пользователей) на данный участок, и такое ограничение в силу пункта 6 статьи 56 Земельного кодекса Российской Федерации подлежит государственной регистрации.</w:t>
      </w:r>
    </w:p>
    <w:p w14:paraId="2CDDBEE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Государственная регистрация такого ограничения прав правообладателя земельного участка как резервирование его для государственных и муниципальных нужд должна производиться на основании акта соответствующего государственного или муниципального органа, инициировавшего резервирование. </w:t>
      </w:r>
    </w:p>
    <w:p w14:paraId="51F0978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В научной литературе справедливо отмечается, что применительно к резервированию необходимость регистрации вводимых ограничений предусмотрена на уровне Постановления Правительства РФ от 22 июля 2008 г. № 561 «О некоторых вопросах, связанных с резервированием земель для государственных или муниципальных нужд», а не на уровне закона, что может явиться для регистрирующих органов поводом к отказу в регистрации таких ограничений</w:t>
      </w:r>
      <w:r>
        <w:rPr>
          <w:rStyle w:val="a7"/>
          <w:rFonts w:ascii="Times New Roman" w:eastAsia="Calibri" w:hAnsi="Times New Roman" w:cs="Times New Roman"/>
          <w:sz w:val="24"/>
          <w:szCs w:val="24"/>
        </w:rPr>
        <w:footnoteReference w:id="267"/>
      </w:r>
      <w:r>
        <w:rPr>
          <w:rFonts w:ascii="Times New Roman" w:eastAsia="Calibri" w:hAnsi="Times New Roman" w:cs="Times New Roman"/>
          <w:sz w:val="24"/>
          <w:szCs w:val="24"/>
        </w:rPr>
        <w:t xml:space="preserve">. Данное предположение подтверждается еще и тем, что в соответствии с п. 9 указанного Постановления, государственная регистрация ограничений прав, установленных решением о резервировании земель, а также прекращения таких ограничений осуществляется в соответствии с Федеральным законом «О государственной регистрации прав на недвижимое имущество и сделок с ним», однако данный федеральный закон с  1 января 2017 года утратил силу. </w:t>
      </w:r>
    </w:p>
    <w:p w14:paraId="15F0FA9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Таким образом, для устранения указанных недостатков необходимо установить конкретный перечень ограничений, вводимых в результате резервирования земельных участков. Также необходимо заменить в п. 9 Постановления Правительства РФ от 22 июля 2008 г. № 561 «О некоторых вопросах, связанных с резервированием земель для государственных или муниципальных нужд» слова: «в соответствии с Федеральным законом «О государственной регистрации прав на недвижимое имущество и сделок с ним» словами: «в соответствии с Федеральным законом «О государственной регистрации недвижимости».</w:t>
      </w:r>
    </w:p>
    <w:p w14:paraId="58C96A2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Еще одной проблемой, которая порождается недостатками правового регулирования отношений, связанных с резервированием земельных участков для государственных и муниципальных нужд, является отсутствие положений о порядке возмещения убытков, связанных с резервированием.</w:t>
      </w:r>
    </w:p>
    <w:p w14:paraId="41FB814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Если исходить из того, что в большинстве случаев резервирование земель осуществляется в целях дальнейшего изъятия земельного участка, то, видимо, целесообразно включать убытки, связанные с резервированием, в выкупную цену земельного участка или в общую сумму возмещения, выплачиваемого иным, кроме собственников, обладателям прав на земельный участок. При этом остается неясным, как быть в случаях, если зарезервированный земельный участок не изымается или не выкупается по окончании срока резервирования. </w:t>
      </w:r>
      <w:r>
        <w:rPr>
          <w:rFonts w:ascii="Times New Roman" w:eastAsia="Calibri" w:hAnsi="Times New Roman" w:cs="Times New Roman"/>
          <w:sz w:val="24"/>
          <w:szCs w:val="24"/>
        </w:rPr>
        <w:lastRenderedPageBreak/>
        <w:t>Представляется, что в этих случаях убытки, если они возникли в связи с резервирование земельного участка, в том числе упущенная выгода, должны возмещаться в размерах и порядке, устанавливаемых гражданским законодательством, однако специальное на то указание должно содержаться в ЗК РФ.</w:t>
      </w:r>
    </w:p>
    <w:p w14:paraId="689BC32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Несомненно, было бы правильным распространить на отношения по резервированию земель постановление Правительства РФ от 7 мая 2003 г. № 262 «Об утверждении правил возмещения собственникам земельных участков, землепользователям, землевладельцам и арендаторам земельных участков убытков, причиненных изъятием или временным занятием земельных участков, ограничением прав собственников земельных участков, землепользователей, землевладельцев и арендаторов земельных участков либо ухудшением качества земель в результате деятельности других лиц» (далее — Правила)</w:t>
      </w:r>
      <w:r>
        <w:rPr>
          <w:rStyle w:val="a7"/>
          <w:rFonts w:ascii="Times New Roman" w:eastAsia="Calibri" w:hAnsi="Times New Roman" w:cs="Times New Roman"/>
          <w:sz w:val="24"/>
          <w:szCs w:val="24"/>
        </w:rPr>
        <w:footnoteReference w:id="268"/>
      </w:r>
      <w:r>
        <w:rPr>
          <w:rFonts w:ascii="Times New Roman" w:eastAsia="Calibri" w:hAnsi="Times New Roman" w:cs="Times New Roman"/>
          <w:sz w:val="24"/>
          <w:szCs w:val="24"/>
        </w:rPr>
        <w:t>. Однако на практике данные правила не применяются, что подтверждается судебной практикой.</w:t>
      </w:r>
    </w:p>
    <w:p w14:paraId="3A9AB61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По нашему мнению для решения вышеуказанных проблем необходимо в Земельном Кодексе Российской Федерации ввести отдельную главу, регламентирующую основные положения о резервировании земель, в которой следует отразить следующие положения: </w:t>
      </w:r>
    </w:p>
    <w:p w14:paraId="5C49558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1) понятие резервирование земель, при этом учитывать, что оно должно осуществляться не только для государственных и муниципальных нужд, но и для иных социально-значимых целей;</w:t>
      </w:r>
    </w:p>
    <w:p w14:paraId="04639BA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2) основание резервирования земель, при этом не следует дублировать имеющиеся положения, которые указывают идентичные основания как изъятия земель, так и их резервирования. Было бы правильнее сформулировать основания для резервирования земель следующим образом: основаниями резервирования земельных участков для государственных и муниципальных нужд является планирование изъятия земельного участка для таких нужд по основаниям, установленным статьей 49 ЗК РФ в течение трех лет с момента издания акта о резервировании;</w:t>
      </w:r>
    </w:p>
    <w:p w14:paraId="7C5612B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3) конкретный перечень ограничений прав на землю, установление которых допускается в связи с резервированием, а также порядок государственной регистрации указанных ограничений;</w:t>
      </w:r>
    </w:p>
    <w:p w14:paraId="0D186B7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4) порядок вынесения акта о резервировании и его содержание, с указанием необходимых данных, индивидуализирующих объект резервирования;</w:t>
      </w:r>
    </w:p>
    <w:p w14:paraId="7CDF999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5) порядок компенсации убытков, понесенных в связи с наложением ограничений прав на землю, по причине ее резервирования. Такие убытки должны возмещаться в случае наличия доказательств наличия упущенной выгоды, в связи с введением указанных ограничений. Такими доказательствами могут служить: план реализации проектов на земельных участках, принадлежащих организациям, утвержденный до момента издания акта о резервировании или установление факта осуществления собственниками определенных действий, направленных на существенное увеличение стоимости земельного участка, которые не были реализованы в связи с ограничениями, установленными в результате резервирования. Кроме того, при определении размера возмещения в связи с изъятием земельного участка необходимо учитывать факт резервирования, предшествующий такому изъятию и увеличивать размер возмещения, так как факт резервирования существенно снижает стоимость земельного участка. </w:t>
      </w:r>
    </w:p>
    <w:p w14:paraId="2914C64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p>
    <w:p w14:paraId="1D08162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p>
    <w:p w14:paraId="5A47512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7"/>
        </w:rPr>
      </w:pPr>
      <w:r>
        <w:rPr>
          <w:rFonts w:ascii="Times New Roman" w:hAnsi="Times New Roman" w:cs="Times New Roman"/>
          <w:sz w:val="24"/>
          <w:szCs w:val="27"/>
        </w:rPr>
        <w:t>Библиографический список</w:t>
      </w:r>
    </w:p>
    <w:p w14:paraId="7D02183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 xml:space="preserve">1. Аракельян Р.Г. Резервирование и изъятие земельных участков в механизме правового регулирования отношений собственности: гражданско-правовой аспект: дис. ... канд. юрид. наук. Краснодар. - 2007. - 182 </w:t>
      </w:r>
      <w:r>
        <w:rPr>
          <w:rFonts w:ascii="Times New Roman" w:hAnsi="Times New Roman" w:cs="Times New Roman"/>
          <w:sz w:val="24"/>
          <w:szCs w:val="24"/>
          <w:lang w:val="en-US"/>
        </w:rPr>
        <w:t>c</w:t>
      </w:r>
      <w:r>
        <w:rPr>
          <w:rFonts w:ascii="Times New Roman" w:hAnsi="Times New Roman" w:cs="Times New Roman"/>
          <w:sz w:val="24"/>
          <w:szCs w:val="24"/>
        </w:rPr>
        <w:t>.</w:t>
      </w:r>
    </w:p>
    <w:p w14:paraId="5467F34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eastAsia="Calibri" w:hAnsi="Times New Roman" w:cs="Times New Roman"/>
          <w:sz w:val="24"/>
          <w:szCs w:val="24"/>
        </w:rPr>
        <w:t>2. Землякова Г.Л. Резервирование земель для государственных и муниципальных нужд в аспекте конституционных прав граждан и их объединений // Право и государство: теория и практика. - М.: Право и государство, - 2014, - № 12 (60). - С. 85-91.</w:t>
      </w:r>
    </w:p>
    <w:p w14:paraId="32EC1FCA" w14:textId="77777777" w:rsidR="001B6C3B" w:rsidRDefault="001B6C3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 xml:space="preserve">3. </w:t>
      </w:r>
      <w:r>
        <w:rPr>
          <w:rFonts w:ascii="Times New Roman" w:eastAsia="Calibri" w:hAnsi="Times New Roman" w:cs="Times New Roman"/>
          <w:sz w:val="24"/>
          <w:szCs w:val="24"/>
        </w:rPr>
        <w:t>Землякова Г.Л. К вопросу о целях резервирования земель в Российской Федерации //Аграрное и земельное право. -2017. - № 11. - С. 46-52.</w:t>
      </w:r>
    </w:p>
    <w:p w14:paraId="278C690B" w14:textId="77777777" w:rsidR="001B6C3B" w:rsidRDefault="001B6C3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Calibri" w:hAnsi="Times New Roman" w:cs="Times New Roman"/>
          <w:sz w:val="24"/>
          <w:szCs w:val="24"/>
        </w:rPr>
      </w:pPr>
      <w:r>
        <w:rPr>
          <w:rFonts w:ascii="Times New Roman" w:hAnsi="Times New Roman" w:cs="Times New Roman"/>
          <w:sz w:val="24"/>
          <w:szCs w:val="24"/>
        </w:rPr>
        <w:t xml:space="preserve">4. </w:t>
      </w:r>
      <w:r>
        <w:rPr>
          <w:rFonts w:ascii="Times New Roman" w:eastAsia="Calibri" w:hAnsi="Times New Roman" w:cs="Times New Roman"/>
          <w:sz w:val="24"/>
          <w:szCs w:val="24"/>
        </w:rPr>
        <w:t>Минина Е.Л. Проблемы законодательства о резервировании земель для государственных и муниципальных нужд // Журнал российского права. - 2013. - № 8. - С. 56-72.</w:t>
      </w:r>
    </w:p>
    <w:p w14:paraId="50A68A9C" w14:textId="77777777" w:rsidR="001B6C3B" w:rsidRDefault="001B6C3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eastAsia="Calibri" w:hAnsi="Times New Roman" w:cs="Times New Roman"/>
          <w:sz w:val="24"/>
          <w:szCs w:val="24"/>
        </w:rPr>
        <w:t xml:space="preserve">5. </w:t>
      </w:r>
      <w:r>
        <w:rPr>
          <w:rFonts w:ascii="Times New Roman" w:hAnsi="Times New Roman" w:cs="Times New Roman"/>
          <w:sz w:val="24"/>
          <w:szCs w:val="24"/>
        </w:rPr>
        <w:t>Камышанский В.П. Резервирование земельных участков поселений для муниципальных нужд / Право и правосудие в современном мире: Матер, междунар. науч.-практ. конф., посвященной пятилетнему юбилею Северо-Кавказского филиала Российской академии правосудия. - Краснодар, 2006. - С. 163-165.</w:t>
      </w:r>
    </w:p>
    <w:p w14:paraId="202064AE" w14:textId="77777777" w:rsidR="001B6C3B" w:rsidRDefault="001B6C3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Cs w:val="24"/>
        </w:rPr>
      </w:pPr>
    </w:p>
    <w:p w14:paraId="15C3312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0"/>
        </w:rPr>
      </w:pPr>
    </w:p>
    <w:p w14:paraId="7C41FCC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p>
    <w:p w14:paraId="0A8C8844" w14:textId="77777777" w:rsidR="001B6C3B" w:rsidRDefault="001B6C3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Pr>
          <w:rFonts w:ascii="Times New Roman" w:hAnsi="Times New Roman" w:cs="Times New Roman"/>
          <w:sz w:val="24"/>
          <w:szCs w:val="24"/>
        </w:rPr>
        <w:t>.</w:t>
      </w:r>
    </w:p>
    <w:p w14:paraId="4C543DF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sectPr w:rsidR="001B6C3B">
          <w:footnotePr>
            <w:numRestart w:val="eachPage"/>
          </w:footnotePr>
          <w:pgSz w:w="11906" w:h="16838"/>
          <w:pgMar w:top="1134" w:right="1134" w:bottom="1134" w:left="1134" w:header="709" w:footer="709" w:gutter="0"/>
          <w:cols w:space="720"/>
        </w:sectPr>
      </w:pPr>
    </w:p>
    <w:p w14:paraId="56D92AF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right"/>
        <w:rPr>
          <w:rFonts w:ascii="Times New Roman" w:hAnsi="Times New Roman" w:cs="Times New Roman"/>
          <w:b/>
          <w:i/>
          <w:sz w:val="24"/>
          <w:szCs w:val="24"/>
        </w:rPr>
      </w:pPr>
      <w:r>
        <w:rPr>
          <w:rFonts w:ascii="Times New Roman" w:hAnsi="Times New Roman" w:cs="Times New Roman"/>
          <w:b/>
          <w:i/>
          <w:sz w:val="24"/>
          <w:szCs w:val="24"/>
        </w:rPr>
        <w:lastRenderedPageBreak/>
        <w:t>УДК 347.132.6</w:t>
      </w:r>
    </w:p>
    <w:p w14:paraId="6451BBC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right"/>
        <w:rPr>
          <w:rFonts w:ascii="Times New Roman" w:hAnsi="Times New Roman" w:cs="Times New Roman"/>
          <w:sz w:val="24"/>
          <w:szCs w:val="24"/>
        </w:rPr>
      </w:pPr>
    </w:p>
    <w:p w14:paraId="2E9D21F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right"/>
        <w:rPr>
          <w:rFonts w:ascii="Times New Roman" w:hAnsi="Times New Roman" w:cs="Times New Roman"/>
          <w:sz w:val="24"/>
          <w:szCs w:val="24"/>
        </w:rPr>
      </w:pPr>
    </w:p>
    <w:p w14:paraId="5D2D2A24" w14:textId="0B83F47F"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32" w:firstLine="709"/>
        <w:jc w:val="both"/>
        <w:rPr>
          <w:rFonts w:ascii="Times New Roman" w:hAnsi="Times New Roman" w:cs="Times New Roman"/>
          <w:b/>
          <w:sz w:val="24"/>
          <w:szCs w:val="24"/>
        </w:rPr>
      </w:pPr>
      <w:r>
        <w:rPr>
          <w:rFonts w:ascii="Times New Roman" w:hAnsi="Times New Roman" w:cs="Times New Roman"/>
          <w:b/>
          <w:sz w:val="24"/>
          <w:szCs w:val="24"/>
        </w:rPr>
        <w:t>Остроухов</w:t>
      </w:r>
      <w:r w:rsidR="007D574D">
        <w:rPr>
          <w:rFonts w:ascii="Times New Roman" w:hAnsi="Times New Roman" w:cs="Times New Roman"/>
          <w:b/>
          <w:sz w:val="24"/>
          <w:szCs w:val="24"/>
        </w:rPr>
        <w:t>а</w:t>
      </w:r>
      <w:r>
        <w:rPr>
          <w:rFonts w:ascii="Times New Roman" w:hAnsi="Times New Roman" w:cs="Times New Roman"/>
          <w:b/>
          <w:sz w:val="24"/>
          <w:szCs w:val="24"/>
        </w:rPr>
        <w:t xml:space="preserve"> Виктори</w:t>
      </w:r>
      <w:r w:rsidR="007D574D">
        <w:rPr>
          <w:rFonts w:ascii="Times New Roman" w:hAnsi="Times New Roman" w:cs="Times New Roman"/>
          <w:b/>
          <w:sz w:val="24"/>
          <w:szCs w:val="24"/>
        </w:rPr>
        <w:t>я</w:t>
      </w:r>
      <w:r>
        <w:rPr>
          <w:rFonts w:ascii="Times New Roman" w:hAnsi="Times New Roman" w:cs="Times New Roman"/>
          <w:b/>
          <w:sz w:val="24"/>
          <w:szCs w:val="24"/>
        </w:rPr>
        <w:t xml:space="preserve"> Витальевн</w:t>
      </w:r>
      <w:r w:rsidR="007D574D">
        <w:rPr>
          <w:rFonts w:ascii="Times New Roman" w:hAnsi="Times New Roman" w:cs="Times New Roman"/>
          <w:b/>
          <w:sz w:val="24"/>
          <w:szCs w:val="24"/>
        </w:rPr>
        <w:t>а</w:t>
      </w:r>
    </w:p>
    <w:p w14:paraId="28B69B5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32" w:firstLine="709"/>
        <w:jc w:val="both"/>
        <w:rPr>
          <w:rFonts w:ascii="Times New Roman" w:hAnsi="Times New Roman" w:cs="Times New Roman"/>
          <w:b/>
          <w:sz w:val="24"/>
          <w:szCs w:val="24"/>
        </w:rPr>
      </w:pPr>
      <w:r>
        <w:rPr>
          <w:rFonts w:ascii="Times New Roman" w:hAnsi="Times New Roman" w:cs="Times New Roman"/>
          <w:b/>
          <w:sz w:val="24"/>
          <w:szCs w:val="24"/>
          <w:lang w:val="en-US"/>
        </w:rPr>
        <w:t>Ostroukhova</w:t>
      </w:r>
      <w:r w:rsidRPr="00430C1C">
        <w:rPr>
          <w:rFonts w:ascii="Times New Roman" w:hAnsi="Times New Roman" w:cs="Times New Roman"/>
          <w:b/>
          <w:sz w:val="24"/>
          <w:szCs w:val="24"/>
        </w:rPr>
        <w:t xml:space="preserve"> </w:t>
      </w:r>
      <w:r>
        <w:rPr>
          <w:rFonts w:ascii="Times New Roman" w:hAnsi="Times New Roman" w:cs="Times New Roman"/>
          <w:b/>
          <w:sz w:val="24"/>
          <w:szCs w:val="24"/>
          <w:lang w:val="en-US"/>
        </w:rPr>
        <w:t>Viktoria</w:t>
      </w:r>
      <w:r w:rsidRPr="00430C1C">
        <w:rPr>
          <w:rFonts w:ascii="Times New Roman" w:hAnsi="Times New Roman" w:cs="Times New Roman"/>
          <w:b/>
          <w:sz w:val="24"/>
          <w:szCs w:val="24"/>
        </w:rPr>
        <w:t xml:space="preserve"> </w:t>
      </w:r>
      <w:r>
        <w:rPr>
          <w:rFonts w:ascii="Times New Roman" w:hAnsi="Times New Roman" w:cs="Times New Roman"/>
          <w:b/>
          <w:sz w:val="24"/>
          <w:szCs w:val="24"/>
          <w:lang w:val="en-US"/>
        </w:rPr>
        <w:t>Vitalevna</w:t>
      </w:r>
    </w:p>
    <w:p w14:paraId="00733B6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32" w:firstLine="709"/>
        <w:jc w:val="both"/>
        <w:rPr>
          <w:rFonts w:ascii="Times New Roman" w:hAnsi="Times New Roman" w:cs="Times New Roman"/>
          <w:sz w:val="24"/>
          <w:szCs w:val="24"/>
        </w:rPr>
      </w:pPr>
      <w:r>
        <w:rPr>
          <w:rFonts w:ascii="Times New Roman" w:hAnsi="Times New Roman" w:cs="Times New Roman"/>
          <w:sz w:val="24"/>
          <w:szCs w:val="24"/>
        </w:rPr>
        <w:t xml:space="preserve">магистрант Федеральное </w:t>
      </w:r>
    </w:p>
    <w:p w14:paraId="5FBA47C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32" w:firstLine="709"/>
        <w:jc w:val="both"/>
        <w:rPr>
          <w:rFonts w:ascii="Times New Roman" w:hAnsi="Times New Roman" w:cs="Times New Roman"/>
          <w:sz w:val="24"/>
          <w:szCs w:val="24"/>
        </w:rPr>
      </w:pPr>
      <w:r>
        <w:rPr>
          <w:rFonts w:ascii="Times New Roman" w:hAnsi="Times New Roman" w:cs="Times New Roman"/>
          <w:sz w:val="24"/>
          <w:szCs w:val="24"/>
        </w:rPr>
        <w:t xml:space="preserve">государственное бюджетное </w:t>
      </w:r>
    </w:p>
    <w:p w14:paraId="0860EFC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32" w:firstLine="709"/>
        <w:jc w:val="both"/>
        <w:rPr>
          <w:rFonts w:ascii="Times New Roman" w:hAnsi="Times New Roman" w:cs="Times New Roman"/>
          <w:sz w:val="24"/>
          <w:szCs w:val="24"/>
        </w:rPr>
      </w:pPr>
      <w:r>
        <w:rPr>
          <w:rFonts w:ascii="Times New Roman" w:hAnsi="Times New Roman" w:cs="Times New Roman"/>
          <w:sz w:val="24"/>
          <w:szCs w:val="24"/>
        </w:rPr>
        <w:t>образовательное учреждение</w:t>
      </w:r>
    </w:p>
    <w:p w14:paraId="09DB204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32" w:firstLine="709"/>
        <w:jc w:val="both"/>
        <w:rPr>
          <w:rFonts w:ascii="Times New Roman" w:hAnsi="Times New Roman" w:cs="Times New Roman"/>
          <w:sz w:val="24"/>
          <w:szCs w:val="24"/>
        </w:rPr>
      </w:pPr>
      <w:r>
        <w:rPr>
          <w:rFonts w:ascii="Times New Roman" w:hAnsi="Times New Roman" w:cs="Times New Roman"/>
          <w:sz w:val="24"/>
          <w:szCs w:val="24"/>
        </w:rPr>
        <w:t xml:space="preserve">высшего образования «Кубанский </w:t>
      </w:r>
    </w:p>
    <w:p w14:paraId="3671F0C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32" w:firstLine="709"/>
        <w:jc w:val="both"/>
        <w:rPr>
          <w:rFonts w:ascii="Times New Roman" w:hAnsi="Times New Roman" w:cs="Times New Roman"/>
          <w:sz w:val="24"/>
          <w:szCs w:val="24"/>
        </w:rPr>
      </w:pPr>
      <w:r>
        <w:rPr>
          <w:rFonts w:ascii="Times New Roman" w:hAnsi="Times New Roman" w:cs="Times New Roman"/>
          <w:sz w:val="24"/>
          <w:szCs w:val="24"/>
        </w:rPr>
        <w:t xml:space="preserve">государственный аграрный </w:t>
      </w:r>
    </w:p>
    <w:p w14:paraId="4C2DCEF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32" w:firstLine="709"/>
        <w:jc w:val="both"/>
        <w:rPr>
          <w:rFonts w:ascii="Times New Roman" w:hAnsi="Times New Roman" w:cs="Times New Roman"/>
          <w:sz w:val="24"/>
          <w:szCs w:val="24"/>
        </w:rPr>
      </w:pPr>
      <w:r>
        <w:rPr>
          <w:rFonts w:ascii="Times New Roman" w:hAnsi="Times New Roman" w:cs="Times New Roman"/>
          <w:sz w:val="24"/>
          <w:szCs w:val="24"/>
        </w:rPr>
        <w:t>университет имени И.Т. Трубилина»</w:t>
      </w:r>
    </w:p>
    <w:p w14:paraId="146AA69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32" w:firstLine="709"/>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Federal State Budgetary Educational </w:t>
      </w:r>
    </w:p>
    <w:p w14:paraId="5A84B64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32" w:firstLine="709"/>
        <w:jc w:val="both"/>
        <w:rPr>
          <w:rFonts w:ascii="Times New Roman" w:hAnsi="Times New Roman" w:cs="Times New Roman"/>
          <w:sz w:val="24"/>
          <w:szCs w:val="24"/>
          <w:lang w:val="en-US"/>
        </w:rPr>
      </w:pPr>
      <w:r>
        <w:rPr>
          <w:rFonts w:ascii="Times New Roman" w:hAnsi="Times New Roman" w:cs="Times New Roman"/>
          <w:sz w:val="24"/>
          <w:szCs w:val="24"/>
          <w:lang w:val="en-US"/>
        </w:rPr>
        <w:t>Institution of Higher Education</w:t>
      </w:r>
    </w:p>
    <w:p w14:paraId="3052BFE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32" w:firstLine="709"/>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“Kuban State Agrarian University </w:t>
      </w:r>
    </w:p>
    <w:p w14:paraId="7199CF0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32" w:firstLine="709"/>
        <w:jc w:val="both"/>
        <w:rPr>
          <w:rFonts w:ascii="Times New Roman" w:hAnsi="Times New Roman" w:cs="Times New Roman"/>
          <w:sz w:val="24"/>
          <w:szCs w:val="24"/>
          <w:lang w:val="en-US"/>
        </w:rPr>
      </w:pPr>
      <w:r>
        <w:rPr>
          <w:rFonts w:ascii="Times New Roman" w:hAnsi="Times New Roman" w:cs="Times New Roman"/>
          <w:sz w:val="24"/>
          <w:szCs w:val="24"/>
          <w:lang w:val="en-US"/>
        </w:rPr>
        <w:t>named after I.T. Trubilin”</w:t>
      </w:r>
    </w:p>
    <w:p w14:paraId="34A7F08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32" w:firstLine="709"/>
        <w:jc w:val="both"/>
        <w:rPr>
          <w:rFonts w:ascii="Times New Roman" w:hAnsi="Times New Roman" w:cs="Times New Roman"/>
          <w:sz w:val="24"/>
          <w:szCs w:val="24"/>
        </w:rPr>
      </w:pPr>
      <w:r>
        <w:rPr>
          <w:rFonts w:ascii="Times New Roman" w:hAnsi="Times New Roman" w:cs="Times New Roman"/>
          <w:sz w:val="24"/>
          <w:szCs w:val="24"/>
        </w:rPr>
        <w:t>Российская Федерация, г. Краснодар</w:t>
      </w:r>
    </w:p>
    <w:p w14:paraId="29C3FCE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32" w:firstLine="709"/>
        <w:jc w:val="both"/>
        <w:rPr>
          <w:rFonts w:ascii="Times New Roman" w:hAnsi="Times New Roman" w:cs="Times New Roman"/>
          <w:sz w:val="24"/>
          <w:szCs w:val="24"/>
        </w:rPr>
      </w:pPr>
      <w:r>
        <w:rPr>
          <w:rFonts w:ascii="Times New Roman" w:hAnsi="Times New Roman" w:cs="Times New Roman"/>
          <w:sz w:val="24"/>
          <w:szCs w:val="24"/>
          <w:lang w:val="en-US"/>
        </w:rPr>
        <w:t>Russian</w:t>
      </w:r>
      <w:r w:rsidRPr="00430C1C">
        <w:rPr>
          <w:rFonts w:ascii="Times New Roman" w:hAnsi="Times New Roman" w:cs="Times New Roman"/>
          <w:sz w:val="24"/>
          <w:szCs w:val="24"/>
        </w:rPr>
        <w:t xml:space="preserve"> </w:t>
      </w:r>
      <w:r>
        <w:rPr>
          <w:rFonts w:ascii="Times New Roman" w:hAnsi="Times New Roman" w:cs="Times New Roman"/>
          <w:sz w:val="24"/>
          <w:szCs w:val="24"/>
          <w:lang w:val="en-US"/>
        </w:rPr>
        <w:t>Federation</w:t>
      </w:r>
      <w:r>
        <w:rPr>
          <w:rFonts w:ascii="Times New Roman" w:hAnsi="Times New Roman" w:cs="Times New Roman"/>
          <w:sz w:val="24"/>
          <w:szCs w:val="24"/>
        </w:rPr>
        <w:t xml:space="preserve">, </w:t>
      </w:r>
      <w:r>
        <w:rPr>
          <w:rFonts w:ascii="Times New Roman" w:hAnsi="Times New Roman" w:cs="Times New Roman"/>
          <w:sz w:val="24"/>
          <w:szCs w:val="24"/>
          <w:lang w:val="en-US"/>
        </w:rPr>
        <w:t>Krasnodar</w:t>
      </w:r>
    </w:p>
    <w:p w14:paraId="5ECA2626" w14:textId="77777777" w:rsidR="001B6C3B" w:rsidRDefault="00EE7838"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32" w:firstLine="709"/>
        <w:jc w:val="both"/>
        <w:rPr>
          <w:rFonts w:ascii="Times New Roman" w:hAnsi="Times New Roman" w:cs="Times New Roman"/>
          <w:sz w:val="24"/>
          <w:szCs w:val="24"/>
        </w:rPr>
      </w:pPr>
      <w:hyperlink r:id="rId33" w:history="1">
        <w:r w:rsidR="001B6C3B">
          <w:rPr>
            <w:rStyle w:val="a9"/>
            <w:rFonts w:ascii="Times New Roman" w:hAnsi="Times New Roman" w:cs="Times New Roman"/>
            <w:sz w:val="24"/>
            <w:szCs w:val="24"/>
            <w:lang w:val="en-US"/>
          </w:rPr>
          <w:t>vikulya</w:t>
        </w:r>
        <w:r w:rsidR="001B6C3B">
          <w:rPr>
            <w:rStyle w:val="a9"/>
            <w:rFonts w:ascii="Times New Roman" w:hAnsi="Times New Roman" w:cs="Times New Roman"/>
            <w:sz w:val="24"/>
            <w:szCs w:val="24"/>
          </w:rPr>
          <w:t>.</w:t>
        </w:r>
        <w:r w:rsidR="001B6C3B">
          <w:rPr>
            <w:rStyle w:val="a9"/>
            <w:rFonts w:ascii="Times New Roman" w:hAnsi="Times New Roman" w:cs="Times New Roman"/>
            <w:sz w:val="24"/>
            <w:szCs w:val="24"/>
            <w:lang w:val="en-US"/>
          </w:rPr>
          <w:t>ostroukhova</w:t>
        </w:r>
        <w:r w:rsidR="001B6C3B">
          <w:rPr>
            <w:rStyle w:val="a9"/>
            <w:rFonts w:ascii="Times New Roman" w:hAnsi="Times New Roman" w:cs="Times New Roman"/>
            <w:sz w:val="24"/>
            <w:szCs w:val="24"/>
          </w:rPr>
          <w:t>@</w:t>
        </w:r>
        <w:r w:rsidR="001B6C3B">
          <w:rPr>
            <w:rStyle w:val="a9"/>
            <w:rFonts w:ascii="Times New Roman" w:hAnsi="Times New Roman" w:cs="Times New Roman"/>
            <w:sz w:val="24"/>
            <w:szCs w:val="24"/>
            <w:lang w:val="en-US"/>
          </w:rPr>
          <w:t>mail</w:t>
        </w:r>
        <w:r w:rsidR="001B6C3B">
          <w:rPr>
            <w:rStyle w:val="a9"/>
            <w:rFonts w:ascii="Times New Roman" w:hAnsi="Times New Roman" w:cs="Times New Roman"/>
            <w:sz w:val="24"/>
            <w:szCs w:val="24"/>
          </w:rPr>
          <w:t>.</w:t>
        </w:r>
        <w:r w:rsidR="001B6C3B">
          <w:rPr>
            <w:rStyle w:val="a9"/>
            <w:rFonts w:ascii="Times New Roman" w:hAnsi="Times New Roman" w:cs="Times New Roman"/>
            <w:sz w:val="24"/>
            <w:szCs w:val="24"/>
            <w:lang w:val="en-US"/>
          </w:rPr>
          <w:t>ru</w:t>
        </w:r>
      </w:hyperlink>
    </w:p>
    <w:p w14:paraId="0C265FC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32" w:firstLine="709"/>
        <w:jc w:val="both"/>
        <w:rPr>
          <w:rFonts w:ascii="Times New Roman" w:hAnsi="Times New Roman" w:cs="Times New Roman"/>
          <w:sz w:val="24"/>
          <w:szCs w:val="24"/>
        </w:rPr>
      </w:pPr>
      <w:r>
        <w:rPr>
          <w:rFonts w:ascii="Times New Roman" w:hAnsi="Times New Roman" w:cs="Times New Roman"/>
          <w:sz w:val="24"/>
          <w:szCs w:val="24"/>
        </w:rPr>
        <w:t xml:space="preserve">Цыбуленко Зиновий Иванович, </w:t>
      </w:r>
    </w:p>
    <w:p w14:paraId="3735960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32" w:firstLine="709"/>
        <w:jc w:val="both"/>
        <w:rPr>
          <w:rFonts w:ascii="Times New Roman" w:hAnsi="Times New Roman" w:cs="Times New Roman"/>
          <w:sz w:val="24"/>
          <w:szCs w:val="24"/>
        </w:rPr>
      </w:pPr>
      <w:r>
        <w:rPr>
          <w:rFonts w:ascii="Times New Roman" w:hAnsi="Times New Roman" w:cs="Times New Roman"/>
          <w:sz w:val="24"/>
          <w:szCs w:val="24"/>
        </w:rPr>
        <w:t>доктор юридических наук, профессор</w:t>
      </w:r>
    </w:p>
    <w:p w14:paraId="1DC8AB7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p>
    <w:p w14:paraId="3666947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p>
    <w:p w14:paraId="1859DDA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hAnsi="Times New Roman" w:cs="Times New Roman"/>
          <w:b/>
          <w:sz w:val="24"/>
          <w:szCs w:val="24"/>
        </w:rPr>
      </w:pPr>
      <w:r>
        <w:rPr>
          <w:rFonts w:ascii="Times New Roman" w:hAnsi="Times New Roman" w:cs="Times New Roman"/>
          <w:b/>
          <w:sz w:val="24"/>
          <w:szCs w:val="24"/>
        </w:rPr>
        <w:t>ПРИМЕНЕНИЕ ПРИНЦИПА «ЭСТОППЕЛЬ» В РОССИЙСКОЙ ФЕДЕРАЦИИ</w:t>
      </w:r>
    </w:p>
    <w:p w14:paraId="4A998D1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hAnsi="Times New Roman" w:cs="Times New Roman"/>
          <w:b/>
          <w:sz w:val="24"/>
          <w:szCs w:val="24"/>
        </w:rPr>
      </w:pPr>
    </w:p>
    <w:p w14:paraId="7FC6660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hAnsi="Times New Roman" w:cs="Times New Roman"/>
          <w:b/>
          <w:sz w:val="24"/>
          <w:szCs w:val="24"/>
          <w:lang w:val="en-US"/>
        </w:rPr>
      </w:pPr>
      <w:r>
        <w:rPr>
          <w:rFonts w:ascii="Times New Roman" w:hAnsi="Times New Roman" w:cs="Times New Roman"/>
          <w:b/>
          <w:sz w:val="24"/>
          <w:szCs w:val="24"/>
          <w:lang w:val="en-US"/>
        </w:rPr>
        <w:t>APPLICATION OF THE "ESTOPPEL" PRINCIPLE IN THE RUSSIAN FEDERATION</w:t>
      </w:r>
    </w:p>
    <w:p w14:paraId="7944D6A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hAnsi="Times New Roman" w:cs="Times New Roman"/>
          <w:b/>
          <w:sz w:val="24"/>
          <w:szCs w:val="24"/>
          <w:lang w:val="en-US"/>
        </w:rPr>
      </w:pPr>
    </w:p>
    <w:p w14:paraId="60EAF8C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i/>
          <w:sz w:val="24"/>
          <w:szCs w:val="24"/>
        </w:rPr>
        <w:t xml:space="preserve">Аннотация: </w:t>
      </w:r>
      <w:r>
        <w:rPr>
          <w:rFonts w:ascii="Times New Roman" w:hAnsi="Times New Roman" w:cs="Times New Roman"/>
          <w:sz w:val="24"/>
          <w:szCs w:val="24"/>
        </w:rPr>
        <w:t>В данной статье рассмотрены коллизии правового регулирования, особенности и проблематичные аспекты применения принципа «эстоппель» в Российской Федерации. Выявлено назначение данного принципа, выражающееся в защите добросовестной стороны сделки в связи с тем, что данный принцип представляет собой способ уменьшения числа оспариваемых сделок. Изучены особенности наиболее распространенного случая применения принципа «эстоппель» при признании сделки недействительной, выражающегося в получении исполнения по сделке лицом, которое требует признать сделку недействительной в целях уклонения от встречного исполнения. Проанализированы положения законодательства и правоприменительные акты, касающиеся случаев, исключающих применения принципа «эстоппель». Рассмотрено применение принципа «эстоппель» при предъявлении требований по признанию недействительным договора, связанного с осуществлением предпринимательской деятельности.</w:t>
      </w:r>
      <w:r>
        <w:rPr>
          <w:rFonts w:ascii="Times New Roman" w:hAnsi="Times New Roman" w:cs="Times New Roman"/>
        </w:rPr>
        <w:t xml:space="preserve"> </w:t>
      </w:r>
      <w:r>
        <w:rPr>
          <w:rFonts w:ascii="Times New Roman" w:hAnsi="Times New Roman" w:cs="Times New Roman"/>
          <w:sz w:val="24"/>
          <w:szCs w:val="24"/>
        </w:rPr>
        <w:t>Проанализирована судебная практика, выявлены проблематичные аспекты применения, сделаны выводы и предложены пути решения проблем законодательства, связанных с регламентацией принципа «эстоппель» в целях обеспечения эффективной правоприменительной практики.</w:t>
      </w:r>
    </w:p>
    <w:p w14:paraId="3156510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
          <w:sz w:val="24"/>
          <w:szCs w:val="24"/>
        </w:rPr>
      </w:pPr>
      <w:r>
        <w:rPr>
          <w:rFonts w:ascii="Times New Roman" w:hAnsi="Times New Roman" w:cs="Times New Roman"/>
          <w:i/>
          <w:sz w:val="24"/>
          <w:szCs w:val="24"/>
        </w:rPr>
        <w:t xml:space="preserve">Ключевые слова: </w:t>
      </w:r>
      <w:r>
        <w:rPr>
          <w:rFonts w:ascii="Times New Roman" w:hAnsi="Times New Roman" w:cs="Times New Roman"/>
          <w:sz w:val="24"/>
          <w:szCs w:val="24"/>
        </w:rPr>
        <w:t>принцип «эстоппель»; российское законодательство; недействительность сделок; уклонение от встречного исполнения; требования; дефиниция.</w:t>
      </w:r>
    </w:p>
    <w:p w14:paraId="576FE4A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lang w:val="en-US"/>
        </w:rPr>
      </w:pPr>
      <w:r>
        <w:rPr>
          <w:rFonts w:ascii="Times New Roman" w:hAnsi="Times New Roman" w:cs="Times New Roman"/>
          <w:i/>
          <w:sz w:val="24"/>
          <w:szCs w:val="24"/>
          <w:lang w:val="en-US"/>
        </w:rPr>
        <w:t>Annotation:</w:t>
      </w:r>
      <w:r>
        <w:rPr>
          <w:rFonts w:ascii="Times New Roman" w:hAnsi="Times New Roman" w:cs="Times New Roman"/>
          <w:sz w:val="24"/>
          <w:szCs w:val="24"/>
          <w:lang w:val="en-US"/>
        </w:rPr>
        <w:t xml:space="preserve"> This article discusses conflicts of legal regulation, features and problematic aspects of the application of the principle of «estoppel» in the Russian Federation. The purpose of this principle is to protect the bona fide party to a transaction, since this principle is a way to reduce the number of disputed transactions. We have studied the features of the most common application of the principle of «estoppel» when recognizing a transaction as invalid, which is expressed in the receipt of performance of the transaction by a person who demands to recognize the transaction as invalid in order to avoid counter-performance. The article analyzes the provisions of legislation and law enforcement acts concerning cases that exclude the application of the «estoppel» principle. The </w:t>
      </w:r>
      <w:r>
        <w:rPr>
          <w:rFonts w:ascii="Times New Roman" w:hAnsi="Times New Roman" w:cs="Times New Roman"/>
          <w:sz w:val="24"/>
          <w:szCs w:val="24"/>
          <w:lang w:val="en-US"/>
        </w:rPr>
        <w:lastRenderedPageBreak/>
        <w:t>article considers the application of the «estoppel» principle when submitting claims for invalidation of a contract related to the implementation of business activities. Judicial practice is analyzed, problematic aspects of application are identified, conclusions are drawn and ways to solve problems of legislation related to the regulation of the «estoppel» principle in order to ensure effective law enforcement practice are proposed.</w:t>
      </w:r>
    </w:p>
    <w:p w14:paraId="7AA44D8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lang w:val="en-US"/>
        </w:rPr>
      </w:pPr>
      <w:r>
        <w:rPr>
          <w:rFonts w:ascii="Times New Roman" w:hAnsi="Times New Roman" w:cs="Times New Roman"/>
          <w:i/>
          <w:sz w:val="24"/>
          <w:szCs w:val="24"/>
          <w:lang w:val="en-US"/>
        </w:rPr>
        <w:t>Keywords:</w:t>
      </w:r>
      <w:r>
        <w:rPr>
          <w:rFonts w:ascii="Times New Roman" w:hAnsi="Times New Roman" w:cs="Times New Roman"/>
          <w:sz w:val="24"/>
          <w:szCs w:val="24"/>
          <w:lang w:val="en-US"/>
        </w:rPr>
        <w:t xml:space="preserve"> the principle of «estoppel»; Russian law; invalidity of transactions; evasion of counter-performance; claims; definition.</w:t>
      </w:r>
    </w:p>
    <w:p w14:paraId="0C3E68D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lang w:val="en-US"/>
        </w:rPr>
      </w:pPr>
    </w:p>
    <w:p w14:paraId="5147E5A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Дефиниция принципа «эстоппель» законодательно не регламентирована, что касается доктринального толкования данной дефиниции, то оно представляет собой лишение недобросовестного субъекта гражданских правоотношений права ссылаться на определенные обстоятельства</w:t>
      </w:r>
      <w:r>
        <w:rPr>
          <w:rStyle w:val="a7"/>
          <w:rFonts w:ascii="Times New Roman" w:hAnsi="Times New Roman" w:cs="Times New Roman"/>
          <w:sz w:val="24"/>
          <w:szCs w:val="24"/>
        </w:rPr>
        <w:footnoteReference w:id="269"/>
      </w:r>
      <w:r>
        <w:rPr>
          <w:rFonts w:ascii="Times New Roman" w:hAnsi="Times New Roman" w:cs="Times New Roman"/>
          <w:sz w:val="24"/>
          <w:szCs w:val="24"/>
        </w:rPr>
        <w:t>.</w:t>
      </w:r>
    </w:p>
    <w:p w14:paraId="4E43103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Несмотря на отсутствие дефиниции принципа «эстоппель» в законодательстве, что является, по нашему мнению, пробелом и усложняют правоприменительную практику в связи с отсутствием однозначного понимания данного принципа, его содержание представляется возможным уяснить исключительно посредством анализа Гражданского кодекса Российской Федерации (далее – ГК РФ)</w:t>
      </w:r>
      <w:r>
        <w:rPr>
          <w:rStyle w:val="a7"/>
          <w:rFonts w:ascii="Times New Roman" w:hAnsi="Times New Roman" w:cs="Times New Roman"/>
          <w:sz w:val="24"/>
          <w:szCs w:val="24"/>
        </w:rPr>
        <w:footnoteReference w:id="270"/>
      </w:r>
      <w:r>
        <w:rPr>
          <w:rFonts w:ascii="Times New Roman" w:hAnsi="Times New Roman" w:cs="Times New Roman"/>
          <w:sz w:val="24"/>
          <w:szCs w:val="24"/>
        </w:rPr>
        <w:t xml:space="preserve"> и судебной практики.</w:t>
      </w:r>
    </w:p>
    <w:p w14:paraId="7DD0E25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Законодательная регламентация принципа «эстоппель» при признании сделки недействительной в ГК РФ появилась в 2013 году, п. 5 ст. 166 ГК РФ указывает, что в случае недобросовестного поведения лица, когда такой субъект гражданских правоотношений ссылается на оспоримость или ничтожность сделки, правовое значение заявления о признании сделки недействительной такого субъекта отсутствует. В данном пункте указано, что частным случаем такого нарушения принципа добросовестности является поведение лица, требующего признать сделку недействительной, которое свидетельствовало третьим лицам и контрагенту о факте действительности сделки. А сделка, в свою очередь, как известно, порождает определенные правовые последствия</w:t>
      </w:r>
      <w:r>
        <w:rPr>
          <w:rStyle w:val="a7"/>
          <w:rFonts w:ascii="Times New Roman" w:hAnsi="Times New Roman" w:cs="Times New Roman"/>
          <w:sz w:val="24"/>
          <w:szCs w:val="24"/>
        </w:rPr>
        <w:footnoteReference w:id="271"/>
      </w:r>
      <w:r>
        <w:rPr>
          <w:rFonts w:ascii="Times New Roman" w:hAnsi="Times New Roman" w:cs="Times New Roman"/>
          <w:sz w:val="24"/>
          <w:szCs w:val="24"/>
        </w:rPr>
        <w:t>.</w:t>
      </w:r>
    </w:p>
    <w:p w14:paraId="5187384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Михайлова Е.О. указала: «Эта норма направлена на защиту добросовестной стороны по сделке, которая положилась на заверения контрагента и действовала с намерением исполнить данную сделку»</w:t>
      </w:r>
      <w:r>
        <w:rPr>
          <w:rStyle w:val="a7"/>
          <w:rFonts w:ascii="Times New Roman" w:hAnsi="Times New Roman" w:cs="Times New Roman"/>
          <w:sz w:val="24"/>
          <w:szCs w:val="24"/>
        </w:rPr>
        <w:footnoteReference w:id="272"/>
      </w:r>
      <w:r>
        <w:rPr>
          <w:rFonts w:ascii="Times New Roman" w:hAnsi="Times New Roman" w:cs="Times New Roman"/>
          <w:sz w:val="24"/>
          <w:szCs w:val="24"/>
        </w:rPr>
        <w:t>. Так, измененные положения ст. 166 ГК РФ ввел Федеральный закон от 7 мая 2013 года № 100-ФЗ</w:t>
      </w:r>
      <w:r>
        <w:rPr>
          <w:rStyle w:val="a7"/>
          <w:rFonts w:ascii="Times New Roman" w:hAnsi="Times New Roman" w:cs="Times New Roman"/>
          <w:sz w:val="24"/>
          <w:szCs w:val="24"/>
        </w:rPr>
        <w:footnoteReference w:id="273"/>
      </w:r>
      <w:r>
        <w:rPr>
          <w:rFonts w:ascii="Times New Roman" w:hAnsi="Times New Roman" w:cs="Times New Roman"/>
          <w:sz w:val="24"/>
          <w:szCs w:val="24"/>
        </w:rPr>
        <w:t>. Введение данной нормы представляет собой необходимый и должный способ минимизации количества оспариваемых сделок, инициируемых лицами, не соблюдающими принцип добросовестности, фактически избегающими ответственности в связи с несоблюдением обязанностей.</w:t>
      </w:r>
    </w:p>
    <w:p w14:paraId="4B88045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Так, ст. 1 ГК РФ содержит императивную норму, обязывающую при осуществлении гражданско-правовых отношений действовать добросовестно. По смыслу п. 1 Постановления Пленума Верховного Суда РФ от 23.06.2015 № 25, добросовестное поведение представляет собой ожидаемое от участников гражданско-правовых отношений поведение с учетом прав и законных интересов контрагентов</w:t>
      </w:r>
      <w:r>
        <w:rPr>
          <w:rStyle w:val="a7"/>
          <w:rFonts w:ascii="Times New Roman" w:hAnsi="Times New Roman" w:cs="Times New Roman"/>
          <w:sz w:val="24"/>
          <w:szCs w:val="24"/>
        </w:rPr>
        <w:footnoteReference w:id="274"/>
      </w:r>
      <w:r>
        <w:rPr>
          <w:rFonts w:ascii="Times New Roman" w:hAnsi="Times New Roman" w:cs="Times New Roman"/>
          <w:sz w:val="24"/>
          <w:szCs w:val="24"/>
        </w:rPr>
        <w:t xml:space="preserve">. Таким образом законодатель обеспечивает защиту прав добросовестных участников гражданского оборота от действий недобросовестных. Последствия принципа «эстоппель» сопоставляются с содержанием ст. 10 ГК РФ, </w:t>
      </w:r>
      <w:r>
        <w:rPr>
          <w:rFonts w:ascii="Times New Roman" w:hAnsi="Times New Roman" w:cs="Times New Roman"/>
          <w:sz w:val="24"/>
          <w:szCs w:val="24"/>
        </w:rPr>
        <w:lastRenderedPageBreak/>
        <w:t>предусматривающим следствие недобросовестного поведения, а именно выражается в отказе защиты принадлежащего права субъекту гражданских правоотношений.</w:t>
      </w:r>
    </w:p>
    <w:p w14:paraId="3C1B6F0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При этом, п. 72 Постановления Пленума Верховного Суда РФ от 23.06.2015 № 25 разъясняет, что в случае недобросовестных действий лица, ссылающегося на недействительность сделки, форма его заявления о недействительности (иск, возражение и др.) не имеет правового значения.</w:t>
      </w:r>
    </w:p>
    <w:p w14:paraId="037FF95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Принцип «эстоппель» регламентирован также п. 2 ст. 166 ГК РФ, предусматривающим отсутствие возможности стороны, поведение которой свидетельствовало о воли совершить и обеспечить сохранение сделки, оспаривать основание такой сделки в случае, если данный субъект гражданских правоотношений знал или должен был знать об этом основании.  </w:t>
      </w:r>
    </w:p>
    <w:p w14:paraId="5F8DAAF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Рассмотрим наиболее распространенный случай применения принципа «эстоппель» при признании сделки недействительной, выражающийся в получении исполнения по сделке лицом, которое требует признать сделку недействительной в целях уклонения от встречного исполнения. Что касается судебной практики, то Арбитражным судом Волго-Вятского округа было рассмотрено дело, обстоятельством которого являлось отсутствие внесения арендной платы в полном объеме</w:t>
      </w:r>
      <w:r>
        <w:rPr>
          <w:rStyle w:val="a7"/>
          <w:rFonts w:ascii="Times New Roman" w:hAnsi="Times New Roman" w:cs="Times New Roman"/>
          <w:sz w:val="24"/>
          <w:szCs w:val="24"/>
        </w:rPr>
        <w:footnoteReference w:id="275"/>
      </w:r>
      <w:r>
        <w:rPr>
          <w:rFonts w:ascii="Times New Roman" w:hAnsi="Times New Roman" w:cs="Times New Roman"/>
          <w:sz w:val="24"/>
          <w:szCs w:val="24"/>
        </w:rPr>
        <w:t xml:space="preserve">. Так, арендатор считает, что заключенный договор аренды касается не всего единого технологического комплекса, а исключительно его части, которая фактически является неотъемлемой от всего комплекса и осуществлять функционирование самостоятельно не может. Требование выражается во взыскании долга по арендным платежам по договору аренды. Встречное требование арендатора заключается в признании договора аренды недействительным. </w:t>
      </w:r>
    </w:p>
    <w:p w14:paraId="58E3B0B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Так, суд посчитал необходимым удовлетворение основного требования, поскольку был подтвержден факт наличия долга. Встречное требование удовлетворено не было, суд почитал его противоречащим положениям п. 5 ст. 166 ГК РФ. Так, ссылаться на отсутствие определения предмета договора не представляется возможным ввиду наличия условия о предмете в содержании договора и корректное его указание. В данном случае имеет место быть недобросовестное поведение арендатора, требующего признать договор аренды недействительным с целью уклонения от выплаты долга по арендным платежам.</w:t>
      </w:r>
    </w:p>
    <w:p w14:paraId="31FE920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Следует отметить также, что существуют случаи, исключающие применение принципа «эстоппель». Рассмотрим данные случаи на примере судебной практики.</w:t>
      </w:r>
    </w:p>
    <w:p w14:paraId="0E33F51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Во-первых, применение принципа «эстоппель» является невозможным в случае нарушения сделкой публичного интереса: явно выраженный законодательный запрет, нарушен порядок соблюдения публичный процедур и др. </w:t>
      </w:r>
    </w:p>
    <w:p w14:paraId="7A4DA30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Так, Министерство по земельным и имущественным отношениям требовало признать недействительным договор безвозмездного пользования земельным участком, заключенный с юридическим лицом. Министерство ссылалось на нарушение норм земельного законодательства в части заключения данного договора в связи с предоставлением земельного участка на праве, отсутствующем для данного субъекта. В данном случае суд посчитал невозможным применение принципа «эстоппель» ввиду нарушения сделкой публичных процедур, связанных с предоставлением земельных участков, находящихся в государственной и муниципальной собственности. То есть, данная сделка фактически противоречит публичному интересу, нарушая законодательство в части соблюдения принципа платности землепользования и осуществления публичный процедур</w:t>
      </w:r>
      <w:r>
        <w:rPr>
          <w:rStyle w:val="a7"/>
          <w:rFonts w:ascii="Times New Roman" w:hAnsi="Times New Roman" w:cs="Times New Roman"/>
          <w:sz w:val="24"/>
          <w:szCs w:val="24"/>
        </w:rPr>
        <w:footnoteReference w:id="276"/>
      </w:r>
      <w:r>
        <w:rPr>
          <w:rFonts w:ascii="Times New Roman" w:hAnsi="Times New Roman" w:cs="Times New Roman"/>
          <w:sz w:val="24"/>
          <w:szCs w:val="24"/>
        </w:rPr>
        <w:t xml:space="preserve">. </w:t>
      </w:r>
    </w:p>
    <w:p w14:paraId="0F744E8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Проанализировав пример из судебной практики, можно прийти к выводу, что даже в случае наличия всех необходимых условий для применения принципа «эстоппель», применить </w:t>
      </w:r>
      <w:r>
        <w:rPr>
          <w:rFonts w:ascii="Times New Roman" w:hAnsi="Times New Roman" w:cs="Times New Roman"/>
          <w:sz w:val="24"/>
          <w:szCs w:val="24"/>
        </w:rPr>
        <w:lastRenderedPageBreak/>
        <w:t>его не всегда представляется возможным в связи с тем, что сделка нарушает публичный интерес.</w:t>
      </w:r>
    </w:p>
    <w:p w14:paraId="7BF5B58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Во-вторых, применение принципа «эстоппель» является невозможным в случае оспаривания сделки по специальным основаниям, регламентированным законодательством о банкротстве, что, фактически, осуществляет защиту гражданских прав как обеих сторон сделки, так и третьих лиц, каковыми являются кредиторы.</w:t>
      </w:r>
    </w:p>
    <w:p w14:paraId="1C4130F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На практике, суды неверно толкуют положения гражданского законодательства в части применения п. 5 ст. 166 ГК РФ, регламентирующего принцип «эстоппель» и применяют к оспариваемым сделкам данный институт гражданского права, несмотря на наличие специальных оснований, регламентированных законодательством о банкротстве.</w:t>
      </w:r>
    </w:p>
    <w:p w14:paraId="0C004D9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Так, Судебная коллегия по экономическим спорам Верховного Суда РФ отменила решение и постановления судов предыдущий инстанций и направило дело на новое рассмотрение в связи с наличием существенных нарушений норм права в выводах судов</w:t>
      </w:r>
      <w:r>
        <w:rPr>
          <w:rStyle w:val="a7"/>
          <w:rFonts w:ascii="Times New Roman" w:hAnsi="Times New Roman" w:cs="Times New Roman"/>
          <w:sz w:val="24"/>
          <w:szCs w:val="24"/>
        </w:rPr>
        <w:footnoteReference w:id="277"/>
      </w:r>
      <w:r>
        <w:rPr>
          <w:rFonts w:ascii="Times New Roman" w:hAnsi="Times New Roman" w:cs="Times New Roman"/>
          <w:sz w:val="24"/>
          <w:szCs w:val="24"/>
        </w:rPr>
        <w:t>. В частности, суды не учли положения Закона о банкротстве</w:t>
      </w:r>
      <w:r>
        <w:rPr>
          <w:rStyle w:val="a7"/>
          <w:rFonts w:ascii="Times New Roman" w:hAnsi="Times New Roman" w:cs="Times New Roman"/>
          <w:sz w:val="24"/>
          <w:szCs w:val="24"/>
        </w:rPr>
        <w:footnoteReference w:id="278"/>
      </w:r>
      <w:r>
        <w:rPr>
          <w:rFonts w:ascii="Times New Roman" w:hAnsi="Times New Roman" w:cs="Times New Roman"/>
          <w:sz w:val="24"/>
          <w:szCs w:val="24"/>
        </w:rPr>
        <w:t xml:space="preserve">, позволяющего признать соглашение недействительным вне зависимости от того, предоставила ли сторона основания другим субъектам гражданских правоотношений рассчитывать на то, что такая сделка действительна, а основывали свои выводы на п. 5 ст. 166 ГК РФ, регламентирующим принцип «эстоппель». </w:t>
      </w:r>
    </w:p>
    <w:p w14:paraId="02ACABB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Таким образом, специальные основания, по которым сторона оспаривает сделку, могут явиться причиной невозможности применения принципа «эстоппель». </w:t>
      </w:r>
    </w:p>
    <w:p w14:paraId="35443E8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Далее, считаю необходимым рассмотреть применение принципа «эстоппель» при предъявлении требований по признанию недействительным договора, связанного с осуществлением предпринимательской деятельности, регламентированное ст. 431.1 ГК РФ. Так, применение принципа «эстоппель» в данном случае является возможным, если имело место быть принятие стороной исполнения по договору, но отсутствовало исполнение ее обязательства, при том, что данная сторона предъявляет требование о признании такого договора недействительным.</w:t>
      </w:r>
    </w:p>
    <w:p w14:paraId="161ECF7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Изучив гражданское законодательство и судебную практику в части, как соотносятся общие положения ГК РФ о принципе «эстоппель» и частные, регулирующие принцип «эстоппель» при предъявлении требований о признании недействительным договора, связанного с осуществлением предпринимательской деятельностью, можно прийти к выводу, что данный аспект не является возможным четко определить. Но предполагается, что в данном случае положения соотносятся как общее и частное, при этом п. 2 ст. 166 ГК РФ применяется дополнительно к п. 2 ст. 431.1 ГК РФ при оспаривании предпринимательского договора.</w:t>
      </w:r>
    </w:p>
    <w:p w14:paraId="370977E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Принцип «эстоппель» применим также для незаключенных договоров, что регламентировано п. 3 ст. 432 ГК РФ. Так, в случае, если имело место быть в договоре несогласованное условие, которое при этом является существенным, действия стороны свидетельствуют о том, что данный договор заключен, эта сторона лишается права требования признать данный договор незаключенным в случае, если это не противоречит принципу добросовестности. </w:t>
      </w:r>
    </w:p>
    <w:p w14:paraId="0149757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Примером применения данного положения является случай, при котором было выполнение работ до момента, когда были согласованы существенные условия договора подряда, при том, что дальнейшие действия подрядчика и заказчика свидетельствовали о том, что данный договор заключен, то есть данные работы были соответственно сданы и приняты</w:t>
      </w:r>
      <w:r>
        <w:rPr>
          <w:rStyle w:val="a7"/>
          <w:rFonts w:ascii="Times New Roman" w:hAnsi="Times New Roman" w:cs="Times New Roman"/>
          <w:sz w:val="24"/>
          <w:szCs w:val="24"/>
        </w:rPr>
        <w:footnoteReference w:id="279"/>
      </w:r>
      <w:r>
        <w:rPr>
          <w:rFonts w:ascii="Times New Roman" w:hAnsi="Times New Roman" w:cs="Times New Roman"/>
          <w:sz w:val="24"/>
          <w:szCs w:val="24"/>
        </w:rPr>
        <w:t>.</w:t>
      </w:r>
    </w:p>
    <w:p w14:paraId="7A2C37E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Так, действие сделки подтверждается пониманием стороной возникновения правоотношений, обусловленных данной сделкой. В случае выдачи заемщиком расписки, свидетельствующей об обязательстве погашения части долга, он не вправе отрицать то, что договор займа был заключен</w:t>
      </w:r>
      <w:r>
        <w:rPr>
          <w:rStyle w:val="a7"/>
          <w:rFonts w:ascii="Times New Roman" w:hAnsi="Times New Roman" w:cs="Times New Roman"/>
          <w:sz w:val="24"/>
          <w:szCs w:val="24"/>
        </w:rPr>
        <w:footnoteReference w:id="280"/>
      </w:r>
      <w:r>
        <w:rPr>
          <w:rFonts w:ascii="Times New Roman" w:hAnsi="Times New Roman" w:cs="Times New Roman"/>
          <w:sz w:val="24"/>
          <w:szCs w:val="24"/>
        </w:rPr>
        <w:t>. То есть применение принципа «эстоппель» в рассматриваемых случаях требует действия контрагента, ориентированные на существенные условия, которые не были согласованы в договоре.</w:t>
      </w:r>
      <w:r>
        <w:rPr>
          <w:rFonts w:ascii="Times New Roman" w:hAnsi="Times New Roman" w:cs="Times New Roman"/>
          <w:sz w:val="24"/>
          <w:szCs w:val="24"/>
        </w:rPr>
        <w:tab/>
      </w:r>
    </w:p>
    <w:p w14:paraId="0D6AC6A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Итак, значение принципа «эстоппель» для гражданского оборота сложно переоценить, данный принцип фактически призван защищать добросовестную сторону сделки, представляя собой способ уменьшения числа оспариваемых сделок. Однако в целях обеспечения эффективной правоприменительной практики предполагается необходимым решить проблемы законодательства, связанные с регламентацией данного принципа.</w:t>
      </w:r>
    </w:p>
    <w:p w14:paraId="54530F2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p>
    <w:p w14:paraId="1178AD3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hAnsi="Times New Roman" w:cs="Times New Roman"/>
          <w:b/>
          <w:sz w:val="24"/>
          <w:szCs w:val="24"/>
        </w:rPr>
      </w:pPr>
      <w:r>
        <w:rPr>
          <w:rFonts w:ascii="Times New Roman" w:hAnsi="Times New Roman" w:cs="Times New Roman"/>
          <w:b/>
          <w:sz w:val="24"/>
          <w:szCs w:val="24"/>
        </w:rPr>
        <w:t>Библиографический список</w:t>
      </w:r>
    </w:p>
    <w:p w14:paraId="5D993E3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sz w:val="24"/>
          <w:szCs w:val="24"/>
        </w:rPr>
      </w:pPr>
    </w:p>
    <w:p w14:paraId="5AF3AE4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1. </w:t>
      </w:r>
      <w:r>
        <w:rPr>
          <w:rFonts w:ascii="Times New Roman" w:hAnsi="Times New Roman" w:cs="Times New Roman"/>
          <w:i/>
          <w:sz w:val="24"/>
          <w:szCs w:val="24"/>
        </w:rPr>
        <w:t>Михайлова Е.О.</w:t>
      </w:r>
      <w:r>
        <w:rPr>
          <w:rFonts w:ascii="Times New Roman" w:hAnsi="Times New Roman" w:cs="Times New Roman"/>
          <w:sz w:val="24"/>
          <w:szCs w:val="24"/>
        </w:rPr>
        <w:t xml:space="preserve"> Правило эстоппель: материальный и процессуальный аспекты // Концепт. - 2016. - №5. - С. 120-130.</w:t>
      </w:r>
    </w:p>
    <w:p w14:paraId="5171906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2. </w:t>
      </w:r>
      <w:r>
        <w:rPr>
          <w:rFonts w:ascii="Times New Roman" w:hAnsi="Times New Roman" w:cs="Times New Roman"/>
          <w:i/>
          <w:sz w:val="24"/>
          <w:szCs w:val="24"/>
        </w:rPr>
        <w:t>Остроухова В.В.</w:t>
      </w:r>
      <w:r>
        <w:rPr>
          <w:rFonts w:ascii="Times New Roman" w:hAnsi="Times New Roman" w:cs="Times New Roman"/>
          <w:sz w:val="24"/>
          <w:szCs w:val="24"/>
        </w:rPr>
        <w:t xml:space="preserve"> Нотариальное удостоверение сделок: проблемы и пути их решения // Власть Закона. - 2017. - № 1 (29). - С. 225-233.</w:t>
      </w:r>
    </w:p>
    <w:p w14:paraId="0CBE1C4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3. </w:t>
      </w:r>
      <w:r>
        <w:rPr>
          <w:rFonts w:ascii="Times New Roman" w:hAnsi="Times New Roman" w:cs="Times New Roman"/>
          <w:i/>
          <w:sz w:val="24"/>
          <w:szCs w:val="24"/>
        </w:rPr>
        <w:t>Роор К.А.</w:t>
      </w:r>
      <w:r>
        <w:rPr>
          <w:rFonts w:ascii="Times New Roman" w:hAnsi="Times New Roman" w:cs="Times New Roman"/>
          <w:sz w:val="24"/>
          <w:szCs w:val="24"/>
        </w:rPr>
        <w:t xml:space="preserve"> Понятие и сущность эстоппеля // Актуальные проблемы российского права. - 2018. - № 7. - С. 71-81.</w:t>
      </w:r>
    </w:p>
    <w:p w14:paraId="7450C87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w:t>
      </w:r>
    </w:p>
    <w:p w14:paraId="5A270E7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sectPr w:rsidR="001B6C3B">
          <w:footnotePr>
            <w:numRestart w:val="eachPage"/>
          </w:footnotePr>
          <w:pgSz w:w="11906" w:h="16838"/>
          <w:pgMar w:top="1134" w:right="1134" w:bottom="1134" w:left="1134" w:header="709" w:footer="709" w:gutter="0"/>
          <w:cols w:space="720"/>
        </w:sectPr>
      </w:pPr>
    </w:p>
    <w:p w14:paraId="2762BCA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lastRenderedPageBreak/>
        <w:t>УДК 347.4</w:t>
      </w:r>
    </w:p>
    <w:p w14:paraId="11ED23B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Fonts w:ascii="Times New Roman" w:eastAsia="Times New Roman" w:hAnsi="Times New Roman" w:cs="Times New Roman"/>
          <w:b/>
          <w:sz w:val="24"/>
          <w:szCs w:val="24"/>
          <w:lang w:eastAsia="ru-RU"/>
        </w:rPr>
      </w:pPr>
    </w:p>
    <w:p w14:paraId="517F3E4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Паланский Антон Владимирович</w:t>
      </w:r>
    </w:p>
    <w:p w14:paraId="19840E3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Fonts w:ascii="Times New Roman" w:eastAsia="Times New Roman" w:hAnsi="Times New Roman" w:cs="Times New Roman"/>
          <w:b/>
          <w:sz w:val="24"/>
          <w:szCs w:val="24"/>
          <w:lang w:eastAsia="ru-RU"/>
        </w:rPr>
      </w:pPr>
      <w:r>
        <w:rPr>
          <w:rFonts w:ascii="Times New Roman" w:hAnsi="Times New Roman" w:cs="Times New Roman"/>
          <w:b/>
          <w:sz w:val="24"/>
          <w:szCs w:val="24"/>
        </w:rPr>
        <w:t>P</w:t>
      </w:r>
      <w:r>
        <w:rPr>
          <w:rFonts w:ascii="Times New Roman" w:hAnsi="Times New Roman" w:cs="Times New Roman"/>
          <w:b/>
          <w:sz w:val="24"/>
          <w:szCs w:val="24"/>
          <w:lang w:val="en-US"/>
        </w:rPr>
        <w:t>a</w:t>
      </w:r>
      <w:r>
        <w:rPr>
          <w:rFonts w:ascii="Times New Roman" w:hAnsi="Times New Roman" w:cs="Times New Roman"/>
          <w:b/>
          <w:sz w:val="24"/>
          <w:szCs w:val="24"/>
        </w:rPr>
        <w:t>lanski Anton Vladimirovich</w:t>
      </w:r>
    </w:p>
    <w:p w14:paraId="7A23371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Магистрант </w:t>
      </w:r>
    </w:p>
    <w:p w14:paraId="3404592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Федеральное государственное бюджетное образовательное учреждение высшего образования «Кубанский государственный аграрный университет имени И.Т. Трубилина»</w:t>
      </w:r>
    </w:p>
    <w:p w14:paraId="25DCD5DB" w14:textId="77777777" w:rsidR="001B6C3B" w:rsidRPr="0051775D"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Fonts w:ascii="Times New Roman" w:eastAsia="Times New Roman" w:hAnsi="Times New Roman" w:cs="Times New Roman"/>
          <w:sz w:val="24"/>
          <w:szCs w:val="24"/>
          <w:lang w:val="en-US" w:eastAsia="ru-RU"/>
        </w:rPr>
      </w:pPr>
      <w:r>
        <w:rPr>
          <w:rFonts w:ascii="Times New Roman" w:eastAsia="Times New Roman" w:hAnsi="Times New Roman" w:cs="Times New Roman"/>
          <w:sz w:val="24"/>
          <w:szCs w:val="24"/>
          <w:lang w:val="en-US" w:eastAsia="ru-RU"/>
        </w:rPr>
        <w:t xml:space="preserve">Federal </w:t>
      </w:r>
      <w:r w:rsidRPr="0051775D">
        <w:rPr>
          <w:rFonts w:ascii="Times New Roman" w:eastAsia="Times New Roman" w:hAnsi="Times New Roman" w:cs="Times New Roman"/>
          <w:sz w:val="24"/>
          <w:szCs w:val="24"/>
          <w:lang w:val="en-US" w:eastAsia="ru-RU"/>
        </w:rPr>
        <w:t>State Budgetary Educational Institution of Higher Education</w:t>
      </w:r>
    </w:p>
    <w:p w14:paraId="2404FE3D" w14:textId="77777777" w:rsidR="001B6C3B" w:rsidRPr="0051775D"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Fonts w:ascii="Times New Roman" w:eastAsia="Times New Roman" w:hAnsi="Times New Roman" w:cs="Times New Roman"/>
          <w:sz w:val="24"/>
          <w:szCs w:val="24"/>
          <w:lang w:val="en-US" w:eastAsia="ru-RU"/>
        </w:rPr>
      </w:pPr>
      <w:r w:rsidRPr="0051775D">
        <w:rPr>
          <w:rFonts w:ascii="Times New Roman" w:eastAsia="Times New Roman" w:hAnsi="Times New Roman" w:cs="Times New Roman"/>
          <w:sz w:val="24"/>
          <w:szCs w:val="24"/>
          <w:lang w:val="en-US" w:eastAsia="ru-RU"/>
        </w:rPr>
        <w:t>«Kuban State Agrarian University named after I.T. Trubilin»</w:t>
      </w:r>
    </w:p>
    <w:p w14:paraId="6E9A2F2B" w14:textId="77777777" w:rsidR="001B6C3B" w:rsidRPr="0051775D"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Fonts w:ascii="Times New Roman" w:eastAsia="Times New Roman" w:hAnsi="Times New Roman" w:cs="Times New Roman"/>
          <w:sz w:val="24"/>
          <w:szCs w:val="24"/>
          <w:lang w:eastAsia="ru-RU"/>
        </w:rPr>
      </w:pPr>
      <w:r w:rsidRPr="0051775D">
        <w:rPr>
          <w:rFonts w:ascii="Times New Roman" w:eastAsia="Times New Roman" w:hAnsi="Times New Roman" w:cs="Times New Roman"/>
          <w:sz w:val="24"/>
          <w:szCs w:val="24"/>
          <w:lang w:eastAsia="ru-RU"/>
        </w:rPr>
        <w:t>Российская Федерация, г. Краснодар</w:t>
      </w:r>
    </w:p>
    <w:p w14:paraId="2C1069A0" w14:textId="77777777" w:rsidR="001B6C3B" w:rsidRPr="0051775D"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Fonts w:ascii="Times New Roman" w:eastAsia="Times New Roman" w:hAnsi="Times New Roman" w:cs="Times New Roman"/>
          <w:sz w:val="24"/>
          <w:szCs w:val="24"/>
          <w:lang w:eastAsia="ru-RU"/>
        </w:rPr>
      </w:pPr>
      <w:r w:rsidRPr="0051775D">
        <w:rPr>
          <w:rFonts w:ascii="Times New Roman" w:eastAsia="Times New Roman" w:hAnsi="Times New Roman" w:cs="Times New Roman"/>
          <w:sz w:val="24"/>
          <w:szCs w:val="24"/>
          <w:lang w:eastAsia="ru-RU"/>
        </w:rPr>
        <w:t>Russian Federation, Krasnodar</w:t>
      </w:r>
    </w:p>
    <w:p w14:paraId="0CB0F346" w14:textId="77777777" w:rsidR="001B6C3B" w:rsidRPr="0051775D" w:rsidRDefault="00EE7838"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Style w:val="a9"/>
          <w:color w:val="auto"/>
        </w:rPr>
      </w:pPr>
      <w:hyperlink r:id="rId34" w:history="1">
        <w:r w:rsidR="001B6C3B" w:rsidRPr="0051775D">
          <w:rPr>
            <w:rStyle w:val="a9"/>
            <w:rFonts w:ascii="Times New Roman" w:eastAsia="Times New Roman" w:hAnsi="Times New Roman" w:cs="Times New Roman"/>
            <w:color w:val="auto"/>
            <w:sz w:val="24"/>
            <w:szCs w:val="24"/>
            <w:lang w:val="en-US" w:eastAsia="ru-RU"/>
          </w:rPr>
          <w:t>Fantom</w:t>
        </w:r>
        <w:r w:rsidR="001B6C3B" w:rsidRPr="0051775D">
          <w:rPr>
            <w:rStyle w:val="a9"/>
            <w:rFonts w:ascii="Times New Roman" w:eastAsia="Times New Roman" w:hAnsi="Times New Roman" w:cs="Times New Roman"/>
            <w:color w:val="auto"/>
            <w:sz w:val="24"/>
            <w:szCs w:val="24"/>
            <w:lang w:eastAsia="ru-RU"/>
          </w:rPr>
          <w:t>36305@rambler.ru</w:t>
        </w:r>
      </w:hyperlink>
    </w:p>
    <w:p w14:paraId="7B71773A" w14:textId="77777777" w:rsidR="001B6C3B" w:rsidRPr="0051775D"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Style w:val="a9"/>
          <w:rFonts w:ascii="Times New Roman" w:eastAsia="Times New Roman" w:hAnsi="Times New Roman" w:cs="Times New Roman"/>
          <w:color w:val="auto"/>
          <w:sz w:val="24"/>
          <w:szCs w:val="24"/>
          <w:lang w:eastAsia="ru-RU"/>
        </w:rPr>
      </w:pPr>
      <w:r w:rsidRPr="0051775D">
        <w:rPr>
          <w:rStyle w:val="a9"/>
          <w:rFonts w:ascii="Times New Roman" w:eastAsia="Times New Roman" w:hAnsi="Times New Roman" w:cs="Times New Roman"/>
          <w:color w:val="auto"/>
          <w:sz w:val="24"/>
          <w:szCs w:val="24"/>
          <w:lang w:eastAsia="ru-RU"/>
        </w:rPr>
        <w:t>Научный руководитель</w:t>
      </w:r>
    </w:p>
    <w:p w14:paraId="4AF7F21E" w14:textId="77777777" w:rsidR="001B6C3B" w:rsidRPr="0051775D"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Style w:val="a9"/>
          <w:rFonts w:ascii="Times New Roman" w:eastAsia="Times New Roman" w:hAnsi="Times New Roman" w:cs="Times New Roman"/>
          <w:color w:val="auto"/>
          <w:sz w:val="24"/>
          <w:szCs w:val="24"/>
          <w:lang w:eastAsia="ru-RU"/>
        </w:rPr>
      </w:pPr>
      <w:r w:rsidRPr="0051775D">
        <w:rPr>
          <w:rStyle w:val="a9"/>
          <w:rFonts w:ascii="Times New Roman" w:eastAsia="Times New Roman" w:hAnsi="Times New Roman" w:cs="Times New Roman"/>
          <w:color w:val="auto"/>
          <w:sz w:val="24"/>
          <w:szCs w:val="24"/>
          <w:lang w:eastAsia="ru-RU"/>
        </w:rPr>
        <w:t>Зеленская Людмила Анатольевна</w:t>
      </w:r>
    </w:p>
    <w:p w14:paraId="25104117" w14:textId="77777777" w:rsidR="001B6C3B" w:rsidRPr="0051775D"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Style w:val="a9"/>
          <w:rFonts w:ascii="Times New Roman" w:hAnsi="Times New Roman" w:cs="Times New Roman"/>
          <w:color w:val="auto"/>
          <w:sz w:val="24"/>
          <w:szCs w:val="24"/>
        </w:rPr>
      </w:pPr>
      <w:r w:rsidRPr="0051775D">
        <w:rPr>
          <w:rStyle w:val="a9"/>
          <w:rFonts w:ascii="Times New Roman" w:eastAsia="Times New Roman" w:hAnsi="Times New Roman" w:cs="Times New Roman"/>
          <w:color w:val="auto"/>
          <w:sz w:val="24"/>
          <w:szCs w:val="24"/>
          <w:lang w:eastAsia="ru-RU"/>
        </w:rPr>
        <w:t>кюн., доцент кафедры гражданского процесса</w:t>
      </w:r>
    </w:p>
    <w:p w14:paraId="7B9DE12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Style w:val="a9"/>
          <w:rFonts w:ascii="Times New Roman" w:hAnsi="Times New Roman" w:cs="Times New Roman"/>
          <w:sz w:val="24"/>
          <w:szCs w:val="24"/>
        </w:rPr>
      </w:pPr>
    </w:p>
    <w:p w14:paraId="72D462A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Style w:val="a9"/>
          <w:rFonts w:ascii="Times New Roman" w:hAnsi="Times New Roman" w:cs="Times New Roman"/>
          <w:sz w:val="24"/>
          <w:szCs w:val="24"/>
        </w:rPr>
      </w:pPr>
    </w:p>
    <w:p w14:paraId="58DA4CE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b/>
        </w:rPr>
      </w:pPr>
      <w:r>
        <w:rPr>
          <w:rFonts w:ascii="Times New Roman" w:hAnsi="Times New Roman" w:cs="Times New Roman"/>
          <w:b/>
          <w:sz w:val="24"/>
          <w:szCs w:val="24"/>
        </w:rPr>
        <w:t>ОТСУТСТВИЕ СУЩЕСТВЕННЫХ УСЛОВИЙ ДОГОВОРА КАК ОСНОВАНИЕ ДЛЯ ЕГО ОСПАРИВАНИЯ</w:t>
      </w:r>
    </w:p>
    <w:p w14:paraId="49C533D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eastAsia="Times New Roman" w:hAnsi="Times New Roman" w:cs="Times New Roman"/>
          <w:sz w:val="24"/>
          <w:szCs w:val="24"/>
          <w:lang w:eastAsia="ru-RU"/>
        </w:rPr>
      </w:pPr>
    </w:p>
    <w:p w14:paraId="2D6213C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eastAsia="Times New Roman" w:hAnsi="Times New Roman" w:cs="Times New Roman"/>
          <w:b/>
          <w:sz w:val="24"/>
          <w:szCs w:val="24"/>
          <w:lang w:val="en-US" w:eastAsia="ru-RU"/>
        </w:rPr>
      </w:pPr>
      <w:r>
        <w:rPr>
          <w:rFonts w:ascii="Times New Roman" w:hAnsi="Times New Roman" w:cs="Times New Roman"/>
          <w:b/>
          <w:sz w:val="24"/>
          <w:szCs w:val="24"/>
          <w:lang w:val="en-US"/>
        </w:rPr>
        <w:t>ABSENCE OF ESSENTIAL TERMS OF THE AGREEMENT AS A BASIS FOR CHALLENGING IT</w:t>
      </w:r>
    </w:p>
    <w:p w14:paraId="269E536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val="en-US" w:eastAsia="ru-RU"/>
        </w:rPr>
      </w:pPr>
    </w:p>
    <w:p w14:paraId="22F2452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i/>
          <w:sz w:val="24"/>
          <w:szCs w:val="24"/>
          <w:lang w:eastAsia="ru-RU"/>
        </w:rPr>
        <w:t xml:space="preserve">Аннотация: </w:t>
      </w:r>
      <w:r>
        <w:rPr>
          <w:rFonts w:ascii="Times New Roman" w:eastAsia="Times New Roman" w:hAnsi="Times New Roman" w:cs="Times New Roman"/>
          <w:sz w:val="24"/>
          <w:szCs w:val="24"/>
          <w:lang w:eastAsia="ru-RU"/>
        </w:rPr>
        <w:t xml:space="preserve">В данной научной статье рассматривается определенный спектр проблем, который связан с оспариванием заключенного договора вследствие отсутствия в нем существенных условий. Проанализировано понятие «существенное условие» учитывая его влияние на юридическую судьбу договора. Исследован правовой механизм оспаривания договора. Рассмотрены проблемы отсутствия существенных условий в договоре на примере анализа отечественного и зарубежного законодательства. </w:t>
      </w:r>
    </w:p>
    <w:p w14:paraId="4354900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p>
    <w:p w14:paraId="1E25939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i/>
          <w:sz w:val="24"/>
          <w:szCs w:val="24"/>
          <w:lang w:eastAsia="ru-RU"/>
        </w:rPr>
        <w:t>Ключевые слова</w:t>
      </w:r>
      <w:r>
        <w:rPr>
          <w:rFonts w:ascii="Times New Roman" w:eastAsia="Times New Roman" w:hAnsi="Times New Roman" w:cs="Times New Roman"/>
          <w:sz w:val="24"/>
          <w:szCs w:val="24"/>
          <w:lang w:eastAsia="ru-RU"/>
        </w:rPr>
        <w:t xml:space="preserve">: оспаривание договора, существенные условия, предмет договора, поименованные договоры, незаключенный договор, договор.  </w:t>
      </w:r>
    </w:p>
    <w:p w14:paraId="229AD84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p>
    <w:p w14:paraId="2968C56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val="en-US" w:eastAsia="ru-RU"/>
        </w:rPr>
      </w:pPr>
      <w:r>
        <w:rPr>
          <w:rFonts w:ascii="Times New Roman" w:eastAsia="Times New Roman" w:hAnsi="Times New Roman" w:cs="Times New Roman"/>
          <w:sz w:val="24"/>
          <w:szCs w:val="24"/>
          <w:lang w:val="en-US" w:eastAsia="ru-RU"/>
        </w:rPr>
        <w:t xml:space="preserve">Annotation: </w:t>
      </w:r>
      <w:r>
        <w:rPr>
          <w:rFonts w:ascii="Times New Roman" w:hAnsi="Times New Roman" w:cs="Times New Roman"/>
          <w:sz w:val="24"/>
          <w:szCs w:val="24"/>
          <w:lang w:val="en-US"/>
        </w:rPr>
        <w:t>This scientific article examines a certain range of problems that are associated with challenging the concluded contract due to the lack of essential conditions in it. The concept of "essential condition" is analyzed, taking into account its influence on the legal fate of the contract. The legal mechanism of contesting the contract is investigated. The analysis of the problem of the absence of essential conditions in the contract on the example of the analysis of domestic and foreign legislation is carried out.</w:t>
      </w:r>
    </w:p>
    <w:p w14:paraId="336A12E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val="en-US" w:eastAsia="ru-RU"/>
        </w:rPr>
      </w:pPr>
    </w:p>
    <w:p w14:paraId="076405E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val="en-US" w:eastAsia="ru-RU"/>
        </w:rPr>
      </w:pPr>
      <w:r>
        <w:rPr>
          <w:rFonts w:ascii="Times New Roman" w:eastAsia="Times New Roman" w:hAnsi="Times New Roman" w:cs="Times New Roman"/>
          <w:sz w:val="24"/>
          <w:szCs w:val="24"/>
          <w:lang w:val="en-US" w:eastAsia="ru-RU"/>
        </w:rPr>
        <w:t xml:space="preserve">Keywords: </w:t>
      </w:r>
      <w:r>
        <w:rPr>
          <w:rFonts w:ascii="Times New Roman" w:hAnsi="Times New Roman" w:cs="Times New Roman"/>
          <w:sz w:val="24"/>
          <w:szCs w:val="24"/>
          <w:lang w:val="en-US"/>
        </w:rPr>
        <w:t>contesting the agreement, essential terms, subject of the agreement, named agreements, and an unfinished agreement, contract.</w:t>
      </w:r>
      <w:r>
        <w:rPr>
          <w:rFonts w:ascii="Times New Roman" w:eastAsia="Times New Roman" w:hAnsi="Times New Roman" w:cs="Times New Roman"/>
          <w:sz w:val="24"/>
          <w:szCs w:val="24"/>
          <w:lang w:val="en-US" w:eastAsia="ru-RU"/>
        </w:rPr>
        <w:t xml:space="preserve">  </w:t>
      </w:r>
    </w:p>
    <w:p w14:paraId="23425A0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lang w:val="en-US"/>
        </w:rPr>
      </w:pPr>
    </w:p>
    <w:p w14:paraId="4384E82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Оспаривание договора - это правовой механизм, направленный на  признание договора недействительным или незаключенным. Данная процедура реализуется либо путем переговоров, либо в судебном порядке.</w:t>
      </w:r>
    </w:p>
    <w:p w14:paraId="5CCC0F8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Согласно п. 1 ст. 432 ГК РФ (далее ГК РФ) для того, чтобы договор считался заключенным, необходимо, чтобы между сторонами, в требуемой форме, было достигнуто </w:t>
      </w:r>
      <w:r>
        <w:rPr>
          <w:rFonts w:ascii="Times New Roman" w:hAnsi="Times New Roman" w:cs="Times New Roman"/>
          <w:sz w:val="24"/>
          <w:szCs w:val="24"/>
        </w:rPr>
        <w:lastRenderedPageBreak/>
        <w:t>соглашение по всем существенным условиям</w:t>
      </w:r>
      <w:r>
        <w:rPr>
          <w:rStyle w:val="a7"/>
          <w:rFonts w:ascii="Times New Roman" w:hAnsi="Times New Roman" w:cs="Times New Roman"/>
          <w:sz w:val="24"/>
          <w:szCs w:val="24"/>
        </w:rPr>
        <w:footnoteReference w:id="281"/>
      </w:r>
      <w:r>
        <w:rPr>
          <w:rFonts w:ascii="Times New Roman" w:hAnsi="Times New Roman" w:cs="Times New Roman"/>
          <w:sz w:val="24"/>
          <w:szCs w:val="24"/>
        </w:rPr>
        <w:t>. Также необходимо отметить, что в соответствии с п. 2 ст. 432 ГК РФ договор заключается посредством направления оферты и ее акцепта другой стороной.</w:t>
      </w:r>
    </w:p>
    <w:p w14:paraId="1B7D116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По мнению Курбатова А.Я. если в договоре отсутствует существенное условие, то «данный факт является фатальным для его дальнейшей юридической судьбы»</w:t>
      </w:r>
      <w:r>
        <w:rPr>
          <w:rStyle w:val="a7"/>
          <w:rFonts w:ascii="Times New Roman" w:hAnsi="Times New Roman" w:cs="Times New Roman"/>
          <w:sz w:val="24"/>
          <w:szCs w:val="24"/>
        </w:rPr>
        <w:footnoteReference w:id="282"/>
      </w:r>
      <w:r>
        <w:rPr>
          <w:rFonts w:ascii="Times New Roman" w:hAnsi="Times New Roman" w:cs="Times New Roman"/>
          <w:sz w:val="24"/>
          <w:szCs w:val="24"/>
        </w:rPr>
        <w:t xml:space="preserve">. </w:t>
      </w:r>
    </w:p>
    <w:p w14:paraId="28106D7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Абзац 2 п. 1 ст. 432 ГК Российской Федерации относит к существенным условиям договора три категории условий.</w:t>
      </w:r>
    </w:p>
    <w:p w14:paraId="19441CB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Во-первых, это условие о предмете договора. Понятие предмета договора, законодательно не закреплено. Зачастую из-за этого на практике стороны договора либо неправильно воспринимают норму, в которой законодатель закрепил предмет для определенного договора, либо уже в ходе реализации процедуры оспаривания возникает проблема правильного определения предмета судом, опять же из-за сложности правового восприятия нормы, которую можно неоднозначно трактовать в отношении предмета.</w:t>
      </w:r>
    </w:p>
    <w:p w14:paraId="650D571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Данная проблема актуальна и сложна в разрешении, поскольку невозможно закрепить исчерпывающий перечень того, что будет входить в состав предмета договора, учитывая, что существует огромное количество именованных и непоименованных договоров. Акты международной унификации договорного права используют для этих целей не менее оценочные критерии: </w:t>
      </w:r>
      <w:r>
        <w:rPr>
          <w:rFonts w:ascii="Times New Roman" w:hAnsi="Times New Roman" w:cs="Times New Roman"/>
          <w:sz w:val="24"/>
          <w:szCs w:val="24"/>
          <w:shd w:val="clear" w:color="auto" w:fill="FFFFFF" w:themeFill="background1"/>
        </w:rPr>
        <w:t>ст. 2 «Типовых норм европейского частного права» указывает на необходимость достаточной определенности условий договора для признания его заключенным, а ст. 2.1.2 «Принципов УНИДРУА» указывает на необходимость «достаточной определенности» содержания оферты</w:t>
      </w:r>
      <w:r>
        <w:rPr>
          <w:rStyle w:val="a7"/>
          <w:rFonts w:ascii="Times New Roman" w:hAnsi="Times New Roman" w:cs="Times New Roman"/>
          <w:sz w:val="24"/>
          <w:szCs w:val="24"/>
          <w:shd w:val="clear" w:color="auto" w:fill="FFFFFF" w:themeFill="background1"/>
        </w:rPr>
        <w:footnoteReference w:id="283"/>
      </w:r>
      <w:r>
        <w:rPr>
          <w:rFonts w:ascii="Times New Roman" w:hAnsi="Times New Roman" w:cs="Times New Roman"/>
          <w:sz w:val="24"/>
          <w:szCs w:val="24"/>
          <w:shd w:val="clear" w:color="auto" w:fill="FFFFFF" w:themeFill="background1"/>
        </w:rPr>
        <w:t>.</w:t>
      </w:r>
    </w:p>
    <w:p w14:paraId="4BD2EE5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Если  предмет договора сторонами не определён достаточно однозначно, допуская   двусмысленность в восприятии положений договора, касающихся определения предмета – так называемые «плавающие границы», у суда нет иного выбора, кроме как признать договор незаключенным. В частности, суд не может определить для сторон, какие товары и в каком количестве должны быть проданы и какие конкретные работы должны быть выполнены. Случаи признания договора незаключенным из-за недостаточной детализации предмета договора достаточно распространены на практике (особенно в отношении договоров на оказание платных услуг)</w:t>
      </w:r>
      <w:r>
        <w:rPr>
          <w:rStyle w:val="a7"/>
          <w:rFonts w:ascii="Times New Roman" w:hAnsi="Times New Roman" w:cs="Times New Roman"/>
          <w:sz w:val="24"/>
          <w:szCs w:val="24"/>
        </w:rPr>
        <w:footnoteReference w:id="284"/>
      </w:r>
      <w:r>
        <w:rPr>
          <w:rFonts w:ascii="Times New Roman" w:hAnsi="Times New Roman" w:cs="Times New Roman"/>
          <w:sz w:val="24"/>
          <w:szCs w:val="24"/>
        </w:rPr>
        <w:t>.</w:t>
      </w:r>
    </w:p>
    <w:p w14:paraId="760D4E8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Во-вторых, необходимо учитывать условия, которые названы в законе или ином правовом акте существенными или необходимыми для данного вида договора. Речь идет, конечно, о названных поименованных договорах. Законодатель в некоторых случаях достаточно четко фиксирует существенные условия отдельных договоров, например, оговаривая, что такие условия являются существенными (например, ряд условий договора страхования согласно статье 942 ГК РФ), или, предусматривая, что отсутствие в договоре определенных условий подразумевает признание договора незаключенным (например, условие о цене в договоре купли-продажи недвижимого имущества по п. 1 ст. 555 ГК РФ).</w:t>
      </w:r>
    </w:p>
    <w:p w14:paraId="778B48B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то же время в некоторых случаях положения закона допускают не единообразное толкование предмета договора и суды обязаны самостоятельно и систематически толковать соответствующие нормы для того, чтобы определить, была ли воля законодателя направлена на закрепление существенности условий. Например, в некоторых случаях законодатель может желать или не желать устанавливать существенность таких условий. Например, судебная практика трактует положение пункта 1 ст. 740 ГК РФ о том, что по договору строительного подряда подрядчик обязуется построить здание «в установленный договором срок», как указание на существенность срока выполнения работ в договоре строительного подряда</w:t>
      </w:r>
      <w:r>
        <w:rPr>
          <w:rStyle w:val="a7"/>
          <w:rFonts w:ascii="Times New Roman" w:hAnsi="Times New Roman" w:cs="Times New Roman"/>
          <w:sz w:val="24"/>
          <w:szCs w:val="24"/>
        </w:rPr>
        <w:footnoteReference w:id="285"/>
      </w:r>
      <w:r>
        <w:rPr>
          <w:rFonts w:ascii="Times New Roman" w:hAnsi="Times New Roman" w:cs="Times New Roman"/>
          <w:sz w:val="24"/>
          <w:szCs w:val="24"/>
        </w:rPr>
        <w:t xml:space="preserve">. С </w:t>
      </w:r>
      <w:r>
        <w:rPr>
          <w:rFonts w:ascii="Times New Roman" w:hAnsi="Times New Roman" w:cs="Times New Roman"/>
          <w:sz w:val="24"/>
          <w:szCs w:val="24"/>
        </w:rPr>
        <w:lastRenderedPageBreak/>
        <w:t>другой стороны, положение пункта 1 ст. 781 ГК РФ о том, что «заказчик обязан оплатить оказанные ему услуги в сроки и в порядке, который указан в договоре оказания платных услуг», большинство судов не расценивают как указание на существенность срока оплаты по договору оказания платных услуг.</w:t>
      </w:r>
    </w:p>
    <w:p w14:paraId="357292D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Также существует проблема отсутствия единой системы совокупности существенных условий для отдельных видов договоров, что обусловлено  наличием пробелов и противоречий в законодательстве РФ. Например, пункт 5 ст. 13 Федерального закона № 416 «О водоснабжении и водоотведении» устанавливает существенные условия договора водоснабжения, среди которых а) «права и обязанности сторон по договору водоснабжения», б) «ответственность в случае неисполнения или ненадлежащего исполнения сторонами обязательств по договору водоснабжения» и в) «порядок разрешения споров, возникающих между сторонами по договору водоснабжения»</w:t>
      </w:r>
      <w:r>
        <w:rPr>
          <w:rStyle w:val="a7"/>
          <w:rFonts w:ascii="Times New Roman" w:hAnsi="Times New Roman" w:cs="Times New Roman"/>
          <w:sz w:val="24"/>
          <w:szCs w:val="24"/>
        </w:rPr>
        <w:footnoteReference w:id="286"/>
      </w:r>
      <w:r>
        <w:rPr>
          <w:rFonts w:ascii="Times New Roman" w:hAnsi="Times New Roman" w:cs="Times New Roman"/>
          <w:sz w:val="24"/>
          <w:szCs w:val="24"/>
        </w:rPr>
        <w:t>. А в договоре энергоснабжения, в соответствии со ст. 539 ГК РФ, условия об ответственности или порядке разрешения споров не являются существенными</w:t>
      </w:r>
      <w:r>
        <w:rPr>
          <w:rStyle w:val="a7"/>
          <w:rFonts w:ascii="Times New Roman" w:hAnsi="Times New Roman" w:cs="Times New Roman"/>
          <w:sz w:val="24"/>
          <w:szCs w:val="24"/>
        </w:rPr>
        <w:footnoteReference w:id="287"/>
      </w:r>
      <w:r>
        <w:rPr>
          <w:rFonts w:ascii="Times New Roman" w:hAnsi="Times New Roman" w:cs="Times New Roman"/>
          <w:sz w:val="24"/>
          <w:szCs w:val="24"/>
        </w:rPr>
        <w:t>.</w:t>
      </w:r>
    </w:p>
    <w:p w14:paraId="077818A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В-третьих, существенными условиями являются те, по которым, согласно заявлению одной из сторон, должно быть достигнуто соглашение. Это положение означает, что любые условия, изложенные одной из сторон в ее оферте (например, направленный проект договора), считаются существенными и должны быть согласованы для признания договора заключенным</w:t>
      </w:r>
      <w:r>
        <w:rPr>
          <w:rStyle w:val="a7"/>
          <w:rFonts w:ascii="Times New Roman" w:hAnsi="Times New Roman" w:cs="Times New Roman"/>
          <w:sz w:val="24"/>
          <w:szCs w:val="24"/>
        </w:rPr>
        <w:footnoteReference w:id="288"/>
      </w:r>
      <w:r>
        <w:rPr>
          <w:rFonts w:ascii="Times New Roman" w:hAnsi="Times New Roman" w:cs="Times New Roman"/>
          <w:sz w:val="24"/>
          <w:szCs w:val="24"/>
        </w:rPr>
        <w:t>.</w:t>
      </w:r>
    </w:p>
    <w:p w14:paraId="25566A4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Некоторые условия договора, могут определяться стороной как существенные. В таком случае стороны закрепляют в договоре алгоритм определения существенных условий, который может позволить установить или закрепить правовое значение такого условия в момент исполнения договора</w:t>
      </w:r>
      <w:r>
        <w:rPr>
          <w:rStyle w:val="a7"/>
          <w:rFonts w:ascii="Times New Roman" w:hAnsi="Times New Roman" w:cs="Times New Roman"/>
          <w:sz w:val="24"/>
          <w:szCs w:val="24"/>
        </w:rPr>
        <w:footnoteReference w:id="289"/>
      </w:r>
      <w:r>
        <w:rPr>
          <w:rFonts w:ascii="Times New Roman" w:hAnsi="Times New Roman" w:cs="Times New Roman"/>
          <w:sz w:val="24"/>
          <w:szCs w:val="24"/>
        </w:rPr>
        <w:t>. В частности, включение в договор валютной оговорки (ст. 317 ГК РФ), по сути, означает, что в договоре устанавливается не определенная сумма, а алгоритм ее определения (выплачивается рублевая сумма, которая к моменту оплаты будет эквивалентна указанной сумме иностранной валюты по соответствующему курсу). Поэтому в тех случаях, когда ценовое условие является юридически значимым, такое условие должно считаться согласованным в тех случаях, когда используется валютная оговорка. Судебная практика также поддерживает возможность установления других вариантов определяемых условий. Договор, в котором стороны не пришли к взаимному соглашению о существенных условиях, не заключен и юридически отсутствует. Правила о недействительности договора к данной ситуации не применяются (п. 1 Информационного письма Президиума Верховного Суда Российской Федерации от 25.02.2014 № 165)</w:t>
      </w:r>
      <w:r>
        <w:rPr>
          <w:rStyle w:val="a7"/>
          <w:rFonts w:ascii="Times New Roman" w:hAnsi="Times New Roman" w:cs="Times New Roman"/>
          <w:sz w:val="24"/>
          <w:szCs w:val="24"/>
        </w:rPr>
        <w:footnoteReference w:id="290"/>
      </w:r>
      <w:r>
        <w:rPr>
          <w:rFonts w:ascii="Times New Roman" w:hAnsi="Times New Roman" w:cs="Times New Roman"/>
          <w:sz w:val="24"/>
          <w:szCs w:val="24"/>
        </w:rPr>
        <w:t>.</w:t>
      </w:r>
    </w:p>
    <w:p w14:paraId="7F37F4B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Кроме того, могут возникать ситуации, когда в тексте договора или дополнений к нему не указаны определенные существенные условия, но они определены в подписанных актах приемки, счетах-фактурах. В этой ситуации договор также должен признаваться заключенным и действительным, по крайней мере, с момента выдачи такой документации и согласования отсутствующих в договоре существенных условий.</w:t>
      </w:r>
    </w:p>
    <w:p w14:paraId="20B30E6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r>
        <w:rPr>
          <w:rFonts w:ascii="Times New Roman" w:hAnsi="Times New Roman" w:cs="Times New Roman"/>
          <w:sz w:val="24"/>
          <w:szCs w:val="24"/>
        </w:rPr>
        <w:t xml:space="preserve">Подводя итоги можно сказать о том, что </w:t>
      </w:r>
      <w:r>
        <w:rPr>
          <w:rFonts w:ascii="Times New Roman" w:eastAsia="Times New Roman" w:hAnsi="Times New Roman" w:cs="Times New Roman"/>
          <w:sz w:val="24"/>
          <w:szCs w:val="24"/>
          <w:lang w:eastAsia="ru-RU"/>
        </w:rPr>
        <w:t xml:space="preserve">на сегодняшний день существует огромное количество проблем, которые напрямую связаны с существенными условиями договора. </w:t>
      </w:r>
    </w:p>
    <w:p w14:paraId="103C790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Фактором, который усугубляет данное положение, является отсутствие единообразного подхода к практическому и правовому восприятию содержания существенных условий договора. Решить сложившуюся правовую ситуацию можно устранив </w:t>
      </w:r>
      <w:r>
        <w:rPr>
          <w:rFonts w:ascii="Times New Roman" w:eastAsia="Times New Roman" w:hAnsi="Times New Roman" w:cs="Times New Roman"/>
          <w:sz w:val="24"/>
          <w:szCs w:val="24"/>
          <w:lang w:eastAsia="ru-RU"/>
        </w:rPr>
        <w:lastRenderedPageBreak/>
        <w:t xml:space="preserve">противоречия внутри системы законодательства РФ; реализовать процедуру модернизации законодательства, поскольку большинство норм устарели и требуют обновления; </w:t>
      </w:r>
      <w:r>
        <w:rPr>
          <w:rFonts w:ascii="Times New Roman" w:hAnsi="Times New Roman" w:cs="Times New Roman"/>
          <w:sz w:val="24"/>
          <w:szCs w:val="24"/>
        </w:rPr>
        <w:t xml:space="preserve">изучить зарубежный положительный и  перспективный опыт </w:t>
      </w:r>
      <w:r>
        <w:rPr>
          <w:rFonts w:ascii="Times New Roman" w:eastAsia="Times New Roman" w:hAnsi="Times New Roman" w:cs="Times New Roman"/>
          <w:sz w:val="24"/>
          <w:szCs w:val="24"/>
          <w:lang w:eastAsia="ru-RU"/>
        </w:rPr>
        <w:t>оспаривания заключенного договора из-за отсутствия в нем существенных условий</w:t>
      </w:r>
      <w:r>
        <w:rPr>
          <w:rFonts w:ascii="Times New Roman" w:hAnsi="Times New Roman" w:cs="Times New Roman"/>
          <w:sz w:val="24"/>
          <w:szCs w:val="24"/>
        </w:rPr>
        <w:t xml:space="preserve"> и реализовать процедуру заимствования и внедрения в отечественное право.  </w:t>
      </w:r>
    </w:p>
    <w:p w14:paraId="7AFC0C2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b/>
          <w:sz w:val="24"/>
          <w:szCs w:val="24"/>
          <w:lang w:eastAsia="ru-RU"/>
        </w:rPr>
      </w:pPr>
    </w:p>
    <w:p w14:paraId="326B5C1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b/>
          <w:sz w:val="24"/>
          <w:szCs w:val="24"/>
        </w:rPr>
      </w:pPr>
      <w:r>
        <w:rPr>
          <w:rFonts w:ascii="Times New Roman" w:eastAsia="Calibri" w:hAnsi="Times New Roman" w:cs="Times New Roman"/>
          <w:b/>
          <w:sz w:val="24"/>
          <w:szCs w:val="24"/>
        </w:rPr>
        <w:t>Библиографический список</w:t>
      </w:r>
    </w:p>
    <w:p w14:paraId="5BB86DB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p>
    <w:p w14:paraId="4D55E863" w14:textId="77777777" w:rsidR="001B6C3B" w:rsidRDefault="001B6C3B" w:rsidP="00E3198A">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Витрянский В.В. Реформа российского гражданского законодательства: промежуточные итоги. -М.: Статут, 2019. -134 с.</w:t>
      </w:r>
    </w:p>
    <w:p w14:paraId="73C0EECF" w14:textId="77777777" w:rsidR="001B6C3B" w:rsidRDefault="001B6C3B" w:rsidP="00E3198A">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Егорова М.А. Признание договора незаключенным как способ защиты гражданских прав. Гражданское право. -М.: 2018, -34 с.</w:t>
      </w:r>
    </w:p>
    <w:p w14:paraId="4B967B07" w14:textId="77777777" w:rsidR="001B6C3B" w:rsidRDefault="001B6C3B" w:rsidP="00E3198A">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Курбатов А.Я. Признание договоров незаключенными как следствие невосполнимости и их существенных условий. -М.: 2017, -60 с.</w:t>
      </w:r>
    </w:p>
    <w:p w14:paraId="66FA90E2" w14:textId="77777777" w:rsidR="001B6C3B" w:rsidRDefault="001B6C3B" w:rsidP="00E3198A">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shd w:val="clear" w:color="auto" w:fill="FFFFFF"/>
        </w:rPr>
        <w:t>Минаева Л.Н. Договоры. Практическое применение. -М.:</w:t>
      </w:r>
      <w:r>
        <w:rPr>
          <w:rStyle w:val="ac"/>
          <w:rFonts w:ascii="Times New Roman" w:hAnsi="Times New Roman" w:cs="Times New Roman"/>
          <w:sz w:val="24"/>
          <w:szCs w:val="24"/>
          <w:shd w:val="clear" w:color="auto" w:fill="FFFFFF"/>
        </w:rPr>
        <w:t>2018</w:t>
      </w:r>
      <w:r>
        <w:rPr>
          <w:rFonts w:ascii="Times New Roman" w:hAnsi="Times New Roman" w:cs="Times New Roman"/>
          <w:sz w:val="24"/>
          <w:szCs w:val="24"/>
          <w:shd w:val="clear" w:color="auto" w:fill="FFFFFF"/>
        </w:rPr>
        <w:t>,- 822-823 с.</w:t>
      </w:r>
    </w:p>
    <w:p w14:paraId="35952A09" w14:textId="77777777" w:rsidR="001B6C3B" w:rsidRDefault="001B6C3B" w:rsidP="00E3198A">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Шевченко Е.Е. Заключение гражданско-правовых договоров: проблемы теории и судебно-арбитражной практики. -М.: Инфотропик Медиа, 2018.-68-69 с.</w:t>
      </w:r>
    </w:p>
    <w:p w14:paraId="367A5F6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sectPr w:rsidR="001B6C3B">
          <w:footnotePr>
            <w:numRestart w:val="eachPage"/>
          </w:footnotePr>
          <w:pgSz w:w="11906" w:h="16838"/>
          <w:pgMar w:top="1134" w:right="1134" w:bottom="1134" w:left="1134" w:header="709" w:footer="709" w:gutter="0"/>
          <w:cols w:space="720"/>
        </w:sectPr>
      </w:pPr>
    </w:p>
    <w:p w14:paraId="0490379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b/>
          <w:bCs/>
          <w:sz w:val="24"/>
          <w:szCs w:val="24"/>
        </w:rPr>
      </w:pPr>
      <w:r>
        <w:rPr>
          <w:rFonts w:ascii="Times New Roman" w:hAnsi="Times New Roman" w:cs="Times New Roman"/>
          <w:b/>
          <w:sz w:val="24"/>
          <w:szCs w:val="24"/>
        </w:rPr>
        <w:lastRenderedPageBreak/>
        <w:t xml:space="preserve">                                                                                                                                       УДК: 347.4</w:t>
      </w:r>
    </w:p>
    <w:p w14:paraId="2BB08A5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2835"/>
        <w:rPr>
          <w:rFonts w:ascii="Times New Roman" w:hAnsi="Times New Roman" w:cs="Times New Roman"/>
          <w:b/>
          <w:sz w:val="24"/>
          <w:szCs w:val="24"/>
          <w:lang w:eastAsia="ru-RU"/>
        </w:rPr>
      </w:pPr>
      <w:r>
        <w:rPr>
          <w:rFonts w:ascii="Times New Roman" w:hAnsi="Times New Roman" w:cs="Times New Roman"/>
          <w:b/>
          <w:sz w:val="24"/>
          <w:szCs w:val="24"/>
        </w:rPr>
        <w:t>Камышанский Владимир Павлович</w:t>
      </w:r>
    </w:p>
    <w:p w14:paraId="2EB8358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2835"/>
        <w:rPr>
          <w:rFonts w:ascii="Times New Roman" w:hAnsi="Times New Roman" w:cs="Times New Roman"/>
          <w:b/>
          <w:sz w:val="24"/>
          <w:szCs w:val="24"/>
        </w:rPr>
      </w:pPr>
      <w:r>
        <w:rPr>
          <w:rFonts w:ascii="Times New Roman" w:hAnsi="Times New Roman" w:cs="Times New Roman"/>
          <w:b/>
          <w:sz w:val="24"/>
          <w:szCs w:val="24"/>
          <w:lang w:val="en-US"/>
        </w:rPr>
        <w:t>K</w:t>
      </w:r>
      <w:r>
        <w:rPr>
          <w:rFonts w:ascii="Times New Roman" w:hAnsi="Times New Roman" w:cs="Times New Roman"/>
          <w:b/>
          <w:sz w:val="24"/>
          <w:szCs w:val="24"/>
        </w:rPr>
        <w:t xml:space="preserve">amyshansky </w:t>
      </w:r>
      <w:r>
        <w:rPr>
          <w:rFonts w:ascii="Times New Roman" w:hAnsi="Times New Roman" w:cs="Times New Roman"/>
          <w:b/>
          <w:sz w:val="24"/>
          <w:szCs w:val="24"/>
          <w:lang w:val="en-US"/>
        </w:rPr>
        <w:t>Vladimir</w:t>
      </w:r>
      <w:r w:rsidRPr="00430C1C">
        <w:rPr>
          <w:rFonts w:ascii="Times New Roman" w:hAnsi="Times New Roman" w:cs="Times New Roman"/>
          <w:b/>
          <w:sz w:val="24"/>
          <w:szCs w:val="24"/>
        </w:rPr>
        <w:t xml:space="preserve"> </w:t>
      </w:r>
      <w:r>
        <w:rPr>
          <w:rFonts w:ascii="Times New Roman" w:hAnsi="Times New Roman" w:cs="Times New Roman"/>
          <w:b/>
          <w:sz w:val="24"/>
          <w:szCs w:val="24"/>
          <w:lang w:val="en-US"/>
        </w:rPr>
        <w:t>Pavlovich</w:t>
      </w:r>
    </w:p>
    <w:p w14:paraId="6BEB250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835"/>
        <w:rPr>
          <w:rFonts w:ascii="Times New Roman" w:hAnsi="Times New Roman" w:cs="Times New Roman"/>
          <w:sz w:val="24"/>
          <w:szCs w:val="24"/>
        </w:rPr>
      </w:pPr>
      <w:r>
        <w:rPr>
          <w:rFonts w:ascii="Times New Roman" w:hAnsi="Times New Roman" w:cs="Times New Roman"/>
          <w:bCs/>
          <w:sz w:val="24"/>
          <w:szCs w:val="24"/>
        </w:rPr>
        <w:t>Доктор юридических наук,</w:t>
      </w:r>
      <w:r>
        <w:rPr>
          <w:rFonts w:ascii="Times New Roman" w:hAnsi="Times New Roman" w:cs="Times New Roman"/>
          <w:bCs/>
          <w:sz w:val="24"/>
          <w:szCs w:val="24"/>
        </w:rPr>
        <w:br/>
        <w:t>профессор,</w:t>
      </w:r>
      <w:r>
        <w:rPr>
          <w:rFonts w:ascii="Times New Roman" w:hAnsi="Times New Roman" w:cs="Times New Roman"/>
          <w:sz w:val="24"/>
          <w:szCs w:val="24"/>
        </w:rPr>
        <w:t xml:space="preserve"> преподаватель кафедры гражданского права Федеральное государственное бюджетное образовательное учреждение высшего образования «Кубанский государственный аграрный университет имени И.Т. Трубилина»</w:t>
      </w:r>
    </w:p>
    <w:p w14:paraId="36F98B3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2835"/>
        <w:rPr>
          <w:rFonts w:ascii="Times New Roman" w:hAnsi="Times New Roman" w:cs="Times New Roman"/>
          <w:sz w:val="24"/>
          <w:szCs w:val="24"/>
          <w:lang w:val="en-US"/>
        </w:rPr>
      </w:pPr>
      <w:r>
        <w:rPr>
          <w:rFonts w:ascii="Times New Roman" w:hAnsi="Times New Roman" w:cs="Times New Roman"/>
          <w:sz w:val="24"/>
          <w:szCs w:val="24"/>
          <w:lang w:val="en-US"/>
        </w:rPr>
        <w:t>Doctor of law,</w:t>
      </w:r>
    </w:p>
    <w:p w14:paraId="1E5D891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2835"/>
        <w:rPr>
          <w:rFonts w:ascii="Times New Roman" w:hAnsi="Times New Roman" w:cs="Times New Roman"/>
          <w:sz w:val="24"/>
          <w:szCs w:val="24"/>
          <w:lang w:val="en-US"/>
        </w:rPr>
      </w:pPr>
      <w:r>
        <w:rPr>
          <w:rFonts w:ascii="Times New Roman" w:hAnsi="Times New Roman" w:cs="Times New Roman"/>
          <w:sz w:val="24"/>
          <w:szCs w:val="24"/>
          <w:lang w:val="en-US"/>
        </w:rPr>
        <w:t>Professor, teacher of the Department of civil law</w:t>
      </w:r>
    </w:p>
    <w:p w14:paraId="0560998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2835"/>
        <w:rPr>
          <w:rFonts w:ascii="Times New Roman" w:hAnsi="Times New Roman" w:cs="Times New Roman"/>
          <w:sz w:val="24"/>
          <w:szCs w:val="24"/>
          <w:lang w:val="en-US"/>
        </w:rPr>
      </w:pPr>
      <w:r>
        <w:rPr>
          <w:rFonts w:ascii="Times New Roman" w:hAnsi="Times New Roman" w:cs="Times New Roman"/>
          <w:sz w:val="24"/>
          <w:szCs w:val="24"/>
          <w:lang w:val="en-US"/>
        </w:rPr>
        <w:t>Federal State Budgetary Educational Institution of Higher Education</w:t>
      </w:r>
    </w:p>
    <w:p w14:paraId="65EEEB5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2835"/>
        <w:rPr>
          <w:rFonts w:ascii="Times New Roman" w:hAnsi="Times New Roman" w:cs="Times New Roman"/>
          <w:sz w:val="24"/>
          <w:szCs w:val="24"/>
          <w:lang w:val="en-US"/>
        </w:rPr>
      </w:pPr>
      <w:r>
        <w:rPr>
          <w:rFonts w:ascii="Times New Roman" w:hAnsi="Times New Roman" w:cs="Times New Roman"/>
          <w:sz w:val="24"/>
          <w:szCs w:val="24"/>
          <w:lang w:val="en-US"/>
        </w:rPr>
        <w:t>“Kuban State Agrarian University named after I.T. Trubilin”</w:t>
      </w:r>
    </w:p>
    <w:p w14:paraId="19C863B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2835"/>
        <w:rPr>
          <w:rFonts w:ascii="Times New Roman" w:hAnsi="Times New Roman" w:cs="Times New Roman"/>
          <w:sz w:val="24"/>
          <w:szCs w:val="24"/>
        </w:rPr>
      </w:pPr>
      <w:r>
        <w:rPr>
          <w:rFonts w:ascii="Times New Roman" w:hAnsi="Times New Roman" w:cs="Times New Roman"/>
          <w:sz w:val="24"/>
          <w:szCs w:val="24"/>
        </w:rPr>
        <w:t>Российская Федерация, г. Краснодар</w:t>
      </w:r>
    </w:p>
    <w:p w14:paraId="37A74DC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2835"/>
        <w:rPr>
          <w:rFonts w:ascii="Times New Roman" w:hAnsi="Times New Roman" w:cs="Times New Roman"/>
          <w:sz w:val="24"/>
          <w:szCs w:val="24"/>
        </w:rPr>
      </w:pPr>
      <w:r>
        <w:rPr>
          <w:rFonts w:ascii="Times New Roman" w:hAnsi="Times New Roman" w:cs="Times New Roman"/>
          <w:sz w:val="24"/>
          <w:szCs w:val="24"/>
          <w:lang w:val="en-US"/>
        </w:rPr>
        <w:t>Russian</w:t>
      </w:r>
      <w:r w:rsidRPr="00430C1C">
        <w:rPr>
          <w:rFonts w:ascii="Times New Roman" w:hAnsi="Times New Roman" w:cs="Times New Roman"/>
          <w:sz w:val="24"/>
          <w:szCs w:val="24"/>
        </w:rPr>
        <w:t xml:space="preserve"> </w:t>
      </w:r>
      <w:r>
        <w:rPr>
          <w:rFonts w:ascii="Times New Roman" w:hAnsi="Times New Roman" w:cs="Times New Roman"/>
          <w:sz w:val="24"/>
          <w:szCs w:val="24"/>
          <w:lang w:val="en-US"/>
        </w:rPr>
        <w:t>Federation</w:t>
      </w:r>
      <w:r>
        <w:rPr>
          <w:rFonts w:ascii="Times New Roman" w:hAnsi="Times New Roman" w:cs="Times New Roman"/>
          <w:sz w:val="24"/>
          <w:szCs w:val="24"/>
        </w:rPr>
        <w:t xml:space="preserve">, </w:t>
      </w:r>
      <w:r>
        <w:rPr>
          <w:rFonts w:ascii="Times New Roman" w:hAnsi="Times New Roman" w:cs="Times New Roman"/>
          <w:sz w:val="24"/>
          <w:szCs w:val="24"/>
          <w:lang w:val="en-US"/>
        </w:rPr>
        <w:t>Krasnodar</w:t>
      </w:r>
    </w:p>
    <w:p w14:paraId="285EEE3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2835"/>
        <w:rPr>
          <w:rFonts w:ascii="Times New Roman" w:hAnsi="Times New Roman" w:cs="Times New Roman"/>
          <w:sz w:val="24"/>
          <w:szCs w:val="24"/>
          <w:lang w:eastAsia="ru-RU"/>
        </w:rPr>
      </w:pPr>
      <w:r>
        <w:rPr>
          <w:rFonts w:ascii="Times New Roman" w:hAnsi="Times New Roman" w:cs="Times New Roman"/>
          <w:sz w:val="24"/>
          <w:szCs w:val="24"/>
          <w:lang w:val="en-US"/>
        </w:rPr>
        <w:t>abk</w:t>
      </w:r>
      <w:r>
        <w:rPr>
          <w:rFonts w:ascii="Times New Roman" w:hAnsi="Times New Roman" w:cs="Times New Roman"/>
          <w:sz w:val="24"/>
          <w:szCs w:val="24"/>
        </w:rPr>
        <w:t>23@</w:t>
      </w:r>
      <w:r>
        <w:rPr>
          <w:rFonts w:ascii="Times New Roman" w:hAnsi="Times New Roman" w:cs="Times New Roman"/>
          <w:sz w:val="24"/>
          <w:szCs w:val="24"/>
          <w:lang w:val="en-US"/>
        </w:rPr>
        <w:t>list</w:t>
      </w:r>
      <w:r>
        <w:rPr>
          <w:rFonts w:ascii="Times New Roman" w:hAnsi="Times New Roman" w:cs="Times New Roman"/>
          <w:sz w:val="24"/>
          <w:szCs w:val="24"/>
        </w:rPr>
        <w:t>.</w:t>
      </w:r>
      <w:r>
        <w:rPr>
          <w:rFonts w:ascii="Times New Roman" w:hAnsi="Times New Roman" w:cs="Times New Roman"/>
          <w:sz w:val="24"/>
          <w:szCs w:val="24"/>
          <w:lang w:val="en-US"/>
        </w:rPr>
        <w:t>ru</w:t>
      </w:r>
    </w:p>
    <w:p w14:paraId="5CE636B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2835"/>
        <w:rPr>
          <w:rFonts w:ascii="Times New Roman" w:hAnsi="Times New Roman" w:cs="Times New Roman"/>
          <w:b/>
          <w:sz w:val="24"/>
          <w:szCs w:val="24"/>
        </w:rPr>
      </w:pPr>
      <w:r>
        <w:rPr>
          <w:rFonts w:ascii="Times New Roman" w:hAnsi="Times New Roman" w:cs="Times New Roman"/>
          <w:b/>
          <w:sz w:val="24"/>
          <w:szCs w:val="24"/>
        </w:rPr>
        <w:t>Пикалов Владислав Александрович</w:t>
      </w:r>
    </w:p>
    <w:p w14:paraId="06CD9F7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2835"/>
        <w:rPr>
          <w:rFonts w:ascii="Times New Roman" w:hAnsi="Times New Roman" w:cs="Times New Roman"/>
          <w:b/>
          <w:sz w:val="24"/>
          <w:szCs w:val="24"/>
        </w:rPr>
      </w:pPr>
      <w:r>
        <w:rPr>
          <w:rFonts w:ascii="Times New Roman" w:hAnsi="Times New Roman" w:cs="Times New Roman"/>
          <w:b/>
          <w:sz w:val="24"/>
          <w:szCs w:val="24"/>
          <w:lang w:val="en-US"/>
        </w:rPr>
        <w:t>Pikalov</w:t>
      </w:r>
      <w:r w:rsidRPr="00430C1C">
        <w:rPr>
          <w:rFonts w:ascii="Times New Roman" w:hAnsi="Times New Roman" w:cs="Times New Roman"/>
          <w:b/>
          <w:sz w:val="24"/>
          <w:szCs w:val="24"/>
        </w:rPr>
        <w:t xml:space="preserve"> </w:t>
      </w:r>
      <w:r>
        <w:rPr>
          <w:rFonts w:ascii="Times New Roman" w:hAnsi="Times New Roman" w:cs="Times New Roman"/>
          <w:b/>
          <w:sz w:val="24"/>
          <w:szCs w:val="24"/>
          <w:lang w:val="en-US"/>
        </w:rPr>
        <w:t>Vladislav</w:t>
      </w:r>
      <w:r w:rsidRPr="00430C1C">
        <w:rPr>
          <w:rFonts w:ascii="Times New Roman" w:hAnsi="Times New Roman" w:cs="Times New Roman"/>
          <w:b/>
          <w:sz w:val="24"/>
          <w:szCs w:val="24"/>
        </w:rPr>
        <w:t xml:space="preserve"> </w:t>
      </w:r>
      <w:r>
        <w:rPr>
          <w:rFonts w:ascii="Times New Roman" w:hAnsi="Times New Roman" w:cs="Times New Roman"/>
          <w:b/>
          <w:sz w:val="24"/>
          <w:szCs w:val="24"/>
          <w:lang w:val="en-US"/>
        </w:rPr>
        <w:t>Aleksandrovich</w:t>
      </w:r>
    </w:p>
    <w:p w14:paraId="196B465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835"/>
        <w:rPr>
          <w:rFonts w:ascii="Times New Roman" w:hAnsi="Times New Roman" w:cs="Times New Roman"/>
          <w:sz w:val="24"/>
          <w:szCs w:val="24"/>
        </w:rPr>
      </w:pPr>
      <w:r>
        <w:rPr>
          <w:rFonts w:ascii="Times New Roman" w:hAnsi="Times New Roman" w:cs="Times New Roman"/>
          <w:sz w:val="24"/>
          <w:szCs w:val="24"/>
        </w:rPr>
        <w:t>бакалавр Федеральное государственное бюджетное образовательное учреждение высшего образования «Кубанский государственный аграрный университет имени И.Т. Трубилина»</w:t>
      </w:r>
    </w:p>
    <w:p w14:paraId="437539B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2835"/>
        <w:rPr>
          <w:rFonts w:ascii="Times New Roman" w:hAnsi="Times New Roman" w:cs="Times New Roman"/>
          <w:sz w:val="24"/>
          <w:szCs w:val="24"/>
          <w:lang w:val="en-US"/>
        </w:rPr>
      </w:pPr>
      <w:r>
        <w:rPr>
          <w:rFonts w:ascii="Times New Roman" w:hAnsi="Times New Roman" w:cs="Times New Roman"/>
          <w:sz w:val="24"/>
          <w:szCs w:val="24"/>
          <w:lang w:val="en-US"/>
        </w:rPr>
        <w:t>Federal State Budgetary Educational Institution of Higher Education</w:t>
      </w:r>
    </w:p>
    <w:p w14:paraId="0334D6D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2835"/>
        <w:rPr>
          <w:rFonts w:ascii="Times New Roman" w:hAnsi="Times New Roman" w:cs="Times New Roman"/>
          <w:sz w:val="24"/>
          <w:szCs w:val="24"/>
          <w:lang w:val="en-US"/>
        </w:rPr>
      </w:pPr>
      <w:r>
        <w:rPr>
          <w:rFonts w:ascii="Times New Roman" w:hAnsi="Times New Roman" w:cs="Times New Roman"/>
          <w:sz w:val="24"/>
          <w:szCs w:val="24"/>
          <w:lang w:val="en-US"/>
        </w:rPr>
        <w:t>“Kuban State Agrarian University named after I.T. Trubilin”</w:t>
      </w:r>
    </w:p>
    <w:p w14:paraId="1D238F8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2835"/>
        <w:rPr>
          <w:rFonts w:ascii="Times New Roman" w:hAnsi="Times New Roman" w:cs="Times New Roman"/>
          <w:sz w:val="24"/>
          <w:szCs w:val="24"/>
        </w:rPr>
      </w:pPr>
      <w:r>
        <w:rPr>
          <w:rFonts w:ascii="Times New Roman" w:hAnsi="Times New Roman" w:cs="Times New Roman"/>
          <w:sz w:val="24"/>
          <w:szCs w:val="24"/>
        </w:rPr>
        <w:t>Российская Федерация, г. Краснодар</w:t>
      </w:r>
    </w:p>
    <w:p w14:paraId="78465DE6" w14:textId="77777777" w:rsidR="001B6C3B" w:rsidRPr="00C446B3"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2835"/>
        <w:rPr>
          <w:rFonts w:ascii="Times New Roman" w:hAnsi="Times New Roman" w:cs="Times New Roman"/>
          <w:sz w:val="24"/>
          <w:szCs w:val="24"/>
        </w:rPr>
      </w:pPr>
      <w:r>
        <w:rPr>
          <w:rFonts w:ascii="Times New Roman" w:hAnsi="Times New Roman" w:cs="Times New Roman"/>
          <w:sz w:val="24"/>
          <w:szCs w:val="24"/>
          <w:lang w:val="en-US"/>
        </w:rPr>
        <w:t>Russian</w:t>
      </w:r>
      <w:r w:rsidRPr="00C446B3">
        <w:rPr>
          <w:rFonts w:ascii="Times New Roman" w:hAnsi="Times New Roman" w:cs="Times New Roman"/>
          <w:sz w:val="24"/>
          <w:szCs w:val="24"/>
        </w:rPr>
        <w:t xml:space="preserve"> </w:t>
      </w:r>
      <w:r>
        <w:rPr>
          <w:rFonts w:ascii="Times New Roman" w:hAnsi="Times New Roman" w:cs="Times New Roman"/>
          <w:sz w:val="24"/>
          <w:szCs w:val="24"/>
          <w:lang w:val="en-US"/>
        </w:rPr>
        <w:t>Federation</w:t>
      </w:r>
      <w:r w:rsidRPr="00C446B3">
        <w:rPr>
          <w:rFonts w:ascii="Times New Roman" w:hAnsi="Times New Roman" w:cs="Times New Roman"/>
          <w:sz w:val="24"/>
          <w:szCs w:val="24"/>
        </w:rPr>
        <w:t xml:space="preserve">, </w:t>
      </w:r>
      <w:r>
        <w:rPr>
          <w:rFonts w:ascii="Times New Roman" w:hAnsi="Times New Roman" w:cs="Times New Roman"/>
          <w:sz w:val="24"/>
          <w:szCs w:val="24"/>
          <w:lang w:val="en-US"/>
        </w:rPr>
        <w:t>Krasnodar</w:t>
      </w:r>
    </w:p>
    <w:p w14:paraId="3E8D3D50" w14:textId="77777777" w:rsidR="001B6C3B" w:rsidRPr="00C446B3" w:rsidRDefault="00EE7838"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ind w:left="2835" w:right="-6"/>
        <w:rPr>
          <w:rFonts w:ascii="Times New Roman" w:hAnsi="Times New Roman" w:cs="Times New Roman"/>
          <w:sz w:val="24"/>
          <w:szCs w:val="24"/>
          <w:lang w:eastAsia="ru-RU"/>
        </w:rPr>
      </w:pPr>
      <w:hyperlink r:id="rId35" w:history="1">
        <w:r w:rsidR="001B6C3B">
          <w:rPr>
            <w:rStyle w:val="a9"/>
            <w:rFonts w:ascii="Times New Roman" w:hAnsi="Times New Roman" w:cs="Times New Roman"/>
            <w:sz w:val="24"/>
            <w:szCs w:val="24"/>
            <w:lang w:val="en-US"/>
          </w:rPr>
          <w:t>Pikalov</w:t>
        </w:r>
        <w:r w:rsidR="001B6C3B" w:rsidRPr="00C446B3">
          <w:rPr>
            <w:rStyle w:val="a9"/>
            <w:rFonts w:ascii="Times New Roman" w:hAnsi="Times New Roman" w:cs="Times New Roman"/>
            <w:sz w:val="24"/>
            <w:szCs w:val="24"/>
          </w:rPr>
          <w:t>888@</w:t>
        </w:r>
        <w:r w:rsidR="001B6C3B">
          <w:rPr>
            <w:rStyle w:val="a9"/>
            <w:rFonts w:ascii="Times New Roman" w:hAnsi="Times New Roman" w:cs="Times New Roman"/>
            <w:sz w:val="24"/>
            <w:szCs w:val="24"/>
            <w:lang w:val="en-US"/>
          </w:rPr>
          <w:t>mail</w:t>
        </w:r>
        <w:r w:rsidR="001B6C3B" w:rsidRPr="00C446B3">
          <w:rPr>
            <w:rStyle w:val="a9"/>
            <w:rFonts w:ascii="Times New Roman" w:hAnsi="Times New Roman" w:cs="Times New Roman"/>
            <w:sz w:val="24"/>
            <w:szCs w:val="24"/>
          </w:rPr>
          <w:t>.</w:t>
        </w:r>
        <w:r w:rsidR="001B6C3B">
          <w:rPr>
            <w:rStyle w:val="a9"/>
            <w:rFonts w:ascii="Times New Roman" w:hAnsi="Times New Roman" w:cs="Times New Roman"/>
            <w:sz w:val="24"/>
            <w:szCs w:val="24"/>
            <w:lang w:val="en-US"/>
          </w:rPr>
          <w:t>com</w:t>
        </w:r>
      </w:hyperlink>
    </w:p>
    <w:p w14:paraId="4B75EA2C" w14:textId="77777777" w:rsidR="001B6C3B" w:rsidRPr="00C446B3"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ind w:left="2835" w:right="-6"/>
        <w:rPr>
          <w:rFonts w:ascii="Times New Roman" w:hAnsi="Times New Roman" w:cs="Times New Roman"/>
          <w:sz w:val="24"/>
          <w:szCs w:val="24"/>
        </w:rPr>
      </w:pPr>
    </w:p>
    <w:p w14:paraId="05A5781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hAnsi="Times New Roman" w:cs="Times New Roman"/>
          <w:b/>
          <w:bCs/>
          <w:sz w:val="24"/>
          <w:szCs w:val="24"/>
        </w:rPr>
      </w:pPr>
      <w:r>
        <w:rPr>
          <w:rFonts w:ascii="Times New Roman" w:hAnsi="Times New Roman" w:cs="Times New Roman"/>
          <w:b/>
          <w:bCs/>
          <w:sz w:val="24"/>
          <w:szCs w:val="24"/>
        </w:rPr>
        <w:t>СДЕЛКА КАК СПОСОБ ВОЗНИКНОВЕНИЯ ГРАЖДАНСКИХ ПРАВ И ОБЯЗАННОСТЕЙ</w:t>
      </w:r>
    </w:p>
    <w:p w14:paraId="37FD0FF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hAnsi="Times New Roman" w:cs="Times New Roman"/>
          <w:b/>
          <w:bCs/>
          <w:sz w:val="24"/>
          <w:szCs w:val="24"/>
        </w:rPr>
      </w:pPr>
    </w:p>
    <w:p w14:paraId="0259D85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Аннотация: Самым распространенным основанием возникновения гражданских прав и обязанностей является сделка. Сделка – это основная форма, посредством которой субъекты гражданских правоотношений принимают участие в гражданском обороте. Согласно положениям Гражданского Кодекса, сделка – это действия граждан и юридических лиц, направленные на установление, изменение или прекращение гражданских прав и обязанностей. В рамках данной статьи будут рассмотрены основные признаки сделки.</w:t>
      </w:r>
    </w:p>
    <w:p w14:paraId="4BCC324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Ключевые слова: сделка, формы сделки, стороны, признание недействительной, признание ничтожной, классификация.</w:t>
      </w:r>
    </w:p>
    <w:p w14:paraId="73B1B6F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lang w:val="en-US"/>
        </w:rPr>
      </w:pPr>
      <w:r>
        <w:rPr>
          <w:rFonts w:ascii="Times New Roman" w:hAnsi="Times New Roman" w:cs="Times New Roman"/>
          <w:sz w:val="24"/>
          <w:szCs w:val="24"/>
          <w:lang w:val="en-US"/>
        </w:rPr>
        <w:t>Key words: transaction form of the transaction, the parties, annulment, recognition is insignificant, the classification.</w:t>
      </w:r>
    </w:p>
    <w:p w14:paraId="03C6200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lang w:val="en-US"/>
        </w:rPr>
      </w:pPr>
      <w:r>
        <w:rPr>
          <w:rFonts w:ascii="Times New Roman" w:hAnsi="Times New Roman" w:cs="Times New Roman"/>
          <w:sz w:val="24"/>
          <w:szCs w:val="24"/>
          <w:lang w:val="en-US"/>
        </w:rPr>
        <w:t>Annotation: the Most common reason for the emergence of civil rights and obligations is a bargain. A transaction is the main form by which subjects of civil legal relations participate in civil turnover. According to the provisions of the Civil Code, a transaction is an action of citizens and legal entities aimed at establishing, changing or terminating civil rights and obligations. This article will cover the main features of the transaction.</w:t>
      </w:r>
    </w:p>
    <w:p w14:paraId="62C7091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Обращаясь к признакам, формирующим понятие «сделка», следует указать, что, во-первых, сделка – это юридический факт. Сделка обуславливает возникновение, изменение или прекращение прав и обязанностей. Среди системы юридических фактов сделка может быть правообразующим, правоизменяющим и правопрекращающим фактом. Вторым признакам сделки является то, что она выступает как волевой акт. Сделка совершается посредством </w:t>
      </w:r>
      <w:r>
        <w:rPr>
          <w:rFonts w:ascii="Times New Roman" w:hAnsi="Times New Roman" w:cs="Times New Roman"/>
          <w:sz w:val="24"/>
          <w:szCs w:val="24"/>
        </w:rPr>
        <w:lastRenderedPageBreak/>
        <w:t>волеизъявления лиц, у субъекта, ее совершающего есть воля и сознание, благодаря которым он понимает значение своих действий и способен руководить ими.</w:t>
      </w:r>
      <w:r>
        <w:rPr>
          <w:rFonts w:ascii="Times New Roman" w:hAnsi="Times New Roman" w:cs="Times New Roman"/>
          <w:sz w:val="24"/>
          <w:szCs w:val="24"/>
        </w:rPr>
        <w:footnoteReference w:id="291"/>
      </w:r>
    </w:p>
    <w:p w14:paraId="08B5078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Воля субъекта, совершающего сделку, является субъективным элементом, связанным с внутренним стремлением лица совершить сделку. Воля формируется под влиянием разных обстоятельств, однако ее наличие является необходимым условием совершения сделки. Воля на совершение сделки должна быть доведена до сведения других лиц. Воля, выраженная в действии, является предметом правовой оценки. Совершение сделки предполагает совпадение воли и действий, иначе сделка может быть признана недействительной.</w:t>
      </w:r>
      <w:r>
        <w:rPr>
          <w:rFonts w:ascii="Times New Roman" w:hAnsi="Times New Roman" w:cs="Times New Roman"/>
          <w:sz w:val="24"/>
          <w:szCs w:val="24"/>
        </w:rPr>
        <w:footnoteReference w:id="292"/>
      </w:r>
    </w:p>
    <w:p w14:paraId="23EDD0A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Третьим признаком сделки является ее направленность. Сделка совершается для достижения определенного правового результата, поэтому бытовые договоренности не могут рассматриваться как сделка. Цель сделки – это возникновение последствий ее заключения. Цель – это субъективно желаемый результат, наступающий в результате совершения сделки. </w:t>
      </w:r>
    </w:p>
    <w:p w14:paraId="7569987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Основанием сделки является правовая цель, которая достигается посредством совершения сделки. Основание сделки – это ее обязательный признак. Такое основание должно быть законным. Сделка должна быть совершена по закону.</w:t>
      </w:r>
    </w:p>
    <w:p w14:paraId="6F0BD1B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Классификация юридических фактов по волевому критерию позволяет отнести сделку к юридическим актам. Такие сделки следует отличать от административных актов, связанных с осуществлением полномочий органов государственной власти. Общим свойством таких актов является из правомерности и направленность на возникновение гражданско-правовых отношений. Для совершения административного акта необходимо обладать полномочиями и компетенцией. </w:t>
      </w:r>
    </w:p>
    <w:p w14:paraId="337A5A3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Классификация сделок проводится по различным основаниям, например, в зависимости от числа участников они могут быть двусторонними, односторонними и многосторонними, однако важно не путать многосторонние сделки со множественностью лиц.</w:t>
      </w:r>
    </w:p>
    <w:p w14:paraId="77E4A58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Чтобы совершить одностороннюю сделку, достаточно волеизъявления одного лица, например, завещание. Правовые последствия в результате совершения такой сделки возникают при наличии прямого указания закона, соглашения. В постановлении Пленума Верховного Суда РФ от 23.06.2015 г. № 25 «О применении судами положений части первой Гражданского Кодекса» указано, что при совершении односторонней сделки, которая не предусмотрена нормативно-правовыми актами и иными соглашениями, не приводит к последствиям, для наступления которых она совершалась. Обязанности для других лиц в результате совершения односторонней сделки возникают только в случаях, прямо предусмотренных законом.</w:t>
      </w:r>
      <w:r>
        <w:rPr>
          <w:rFonts w:ascii="Times New Roman" w:hAnsi="Times New Roman" w:cs="Times New Roman"/>
          <w:sz w:val="24"/>
          <w:szCs w:val="24"/>
        </w:rPr>
        <w:footnoteReference w:id="293"/>
      </w:r>
    </w:p>
    <w:p w14:paraId="19AE53C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Для совершения двусторонней сделки необходимо наличие взаимной воли двух сторон и совпадение их интересов. В многосторонних сделках участвуют более двух сторон.</w:t>
      </w:r>
      <w:r>
        <w:rPr>
          <w:rFonts w:ascii="Times New Roman" w:hAnsi="Times New Roman" w:cs="Times New Roman"/>
          <w:sz w:val="24"/>
          <w:szCs w:val="24"/>
        </w:rPr>
        <w:footnoteReference w:id="294"/>
      </w:r>
    </w:p>
    <w:p w14:paraId="4FD0D45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Всякая сделка, в которой принимает участие более двух лиц, является договором. Не всякая сделка является договором, но всякий договор является сделкой.</w:t>
      </w:r>
    </w:p>
    <w:p w14:paraId="196E8EF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Другим критерием для классификации сделок является возмездность. Возмездность предполагает обязанность лица предоставить материальное или иное возмещение, при этом, возмездность не предполагает эквивалентность предоставляемого и возмещаемого. </w:t>
      </w:r>
      <w:r>
        <w:rPr>
          <w:rFonts w:ascii="Times New Roman" w:hAnsi="Times New Roman" w:cs="Times New Roman"/>
          <w:sz w:val="24"/>
          <w:szCs w:val="24"/>
        </w:rPr>
        <w:lastRenderedPageBreak/>
        <w:t>Безвозмездная сделка не предусматривает наличие возмещения. Возмездными могут быть только многосторонние и двусторонние сделки.</w:t>
      </w:r>
    </w:p>
    <w:p w14:paraId="416F0AD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По определению момента совершения сделки различаются реальные и консенсуальные. Консенсуальная сделка считается совершенной при достижении соглашений сторон, а реальная сделка предполагает заключение сделки в определенной форме и передачу определенного имущества. </w:t>
      </w:r>
    </w:p>
    <w:p w14:paraId="5BFEEE82" w14:textId="5809E4C0"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По основанию совершения сделки различаются как казуальные и абстрактные, при казуальной сделки ее цель четко ясна, она должна быть законной и достижимой. При совершении абстрактной сделки ее цель может быть неочевидной, например, выдача векселя. Вексель оторван от основного обязательства, основание его выдачи неочевидна.</w:t>
      </w:r>
      <w:r w:rsidR="007572E9">
        <w:rPr>
          <w:rStyle w:val="a7"/>
          <w:rFonts w:ascii="Times New Roman" w:hAnsi="Times New Roman" w:cs="Times New Roman"/>
          <w:sz w:val="24"/>
          <w:szCs w:val="24"/>
        </w:rPr>
        <w:footnoteReference w:id="295"/>
      </w:r>
    </w:p>
    <w:p w14:paraId="5E10D15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Критерий возникновения или прекращения прав и обязанностей позволяет выделить условные и безусловные сделки. Безусловные сделки предполагают наступление прав и обязанностей в момент совершения сделки или по прошествии определенного срока. Условные сделки предполагают возникновение и прекращение прав и обязанностей при наступлении определенного обстоятельства. </w:t>
      </w:r>
    </w:p>
    <w:p w14:paraId="463C91F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На момент совершения сделки неизвестно, наступит ли такое обстоятельство или нет – оно носит вероятностный характер, однако в качестве таких обстоятельств не могут быть указаны условия, наступление которых неизбежно, например, истечение срока. Условия возникновения прав и обязанностей при совершении сделки могут быть отлагательными и отменительным. При совершении сделки под отлагательным условием, возникновение прав и обязанностей у сторон зависит от обстоятельства, о наступлении которого сторонам не может быть известно. На момент заключения сделки не возникает прав и обязанностей – их появление зависит от наступления условий, однако это не отменяет отступление от соглашения или совершение действий, препятствующих наступлению таких условий.</w:t>
      </w:r>
    </w:p>
    <w:p w14:paraId="1CB9490A" w14:textId="60012160"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Отменительное условие предполагает, что в зависимость от наступления оговариваемого условия ставится возникновение или прекращение прав и обязанностей. На момент заключения сделки сторонам неизвестно, наступит ли такое обстоятельство или нет. При этом, если недобросовестная сторона намеренно препятствует наступлению или не наступлению определенных обстоятельств, законодательство предусматривает наступление неблагоприятных условий для такого участника. Отлагательным или отменительным условием не может быть поведение участника сделки.</w:t>
      </w:r>
      <w:r w:rsidR="007572E9">
        <w:rPr>
          <w:rStyle w:val="a7"/>
          <w:rFonts w:ascii="Times New Roman" w:hAnsi="Times New Roman" w:cs="Times New Roman"/>
          <w:sz w:val="24"/>
          <w:szCs w:val="24"/>
        </w:rPr>
        <w:footnoteReference w:id="296"/>
      </w:r>
    </w:p>
    <w:p w14:paraId="0B33CBF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Некоторые сделки предусматривают разрешительный порядок и могут быть совершены только при выражении воли или согласия третьего лица, например, органа государственной власти.</w:t>
      </w:r>
    </w:p>
    <w:p w14:paraId="5D249992" w14:textId="008029FD"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Совершенная сделка признается действительной, если она соответствует требованиям закона. Такие требования являются условиями действительности сделки, только в таком случае достигаются цели, для которых она совершена. Участники сделки должны обладать правоспособностью и дееспособностью. Данные понятия различаются для физических и юридических лиц. У юридического лица понятия правоспособность и дееспособность совпадают во своему содержанию, а дееспособность физического лица зависит от его возраста и состояния здоровья. Правоспособность юридического лица может быть как общей, так и специальной, специальная предусматривает осуществление определенной деятельности, цели которой предусматриваются в учредительных документах.</w:t>
      </w:r>
      <w:r w:rsidR="007572E9">
        <w:rPr>
          <w:rStyle w:val="a7"/>
          <w:rFonts w:ascii="Times New Roman" w:hAnsi="Times New Roman" w:cs="Times New Roman"/>
          <w:sz w:val="24"/>
          <w:szCs w:val="24"/>
        </w:rPr>
        <w:footnoteReference w:id="297"/>
      </w:r>
    </w:p>
    <w:p w14:paraId="602463E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Чтобы сделка была признана действительной, необходимо волеизъявление лиц, ее совершающих, кроме волеизъявления необходимо, чтобы цели сделки соответствовали положениям законодательства. Расхождение воли и совершенных действий предполагает наличие обмана, угроз, введение в заблуждение. Сделки, совершенные при наличии таких обстоятельств, не могут признаваться действительными. Свобода воли при совершении сделки подразумевает, что на ее формирование не влияют внешние факторы и действия третьих лиц.</w:t>
      </w:r>
    </w:p>
    <w:p w14:paraId="6F18B9E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Содержание сделки – это совокупность условий, на которых она совершается. Требования к содержанию могут быть юридическими и фактическими, юридические требования устанавливают законность сделки, совершение сделки управомоченным лицом, а фактические – возникновение прав и обязанностей.</w:t>
      </w:r>
    </w:p>
    <w:p w14:paraId="229FD25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Чтобы сделка была признана действительной, важно, чтобы была соблюдена ее форма. Гражданский Кодекс предусматривает совершение сделки как в устной, так и в письменной форме. Устная форма предусматривает вербальное волеизъявление, без составления письменных документов. Как правило, сделки, совершаемые в устной форме исполняются в момент достижения договоренности. Не могут совершаться сделки посредством устной формы, если они требуют нотариального удостоверения или обязательного соблюдения письменной формы.</w:t>
      </w:r>
      <w:r>
        <w:rPr>
          <w:rFonts w:ascii="Times New Roman" w:hAnsi="Times New Roman" w:cs="Times New Roman"/>
          <w:sz w:val="24"/>
          <w:szCs w:val="24"/>
        </w:rPr>
        <w:footnoteReference w:id="298"/>
      </w:r>
    </w:p>
    <w:p w14:paraId="6855392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Правила, предъявляемые к совершению письменной сделки установлены в ст. 160 Гражданского Кодекса, также законом или договором к сделки могут предъявляться дополнительные требования, если такие требования дополнительно не оговариваются участниками сделки, считается, что она совершена в простой письменной форме. Письменная форма требует обязательного подписания уполномоченным лицом. Несоблюдение формы сделки влечет неблагоприятные последствия, связанные с отсутствием возможности ссылаться на свидетельские показания при необходимости подтвердить условия сделки, кроме того, это также влечет признание сделки недействительной.</w:t>
      </w:r>
      <w:r>
        <w:rPr>
          <w:rFonts w:ascii="Times New Roman" w:hAnsi="Times New Roman" w:cs="Times New Roman"/>
          <w:sz w:val="24"/>
          <w:szCs w:val="24"/>
        </w:rPr>
        <w:footnoteReference w:id="299"/>
      </w:r>
    </w:p>
    <w:p w14:paraId="287DABE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Нотариальная форма сделки считается квалифицированной, она подтверждает законность сделки и наличие у сторон право</w:t>
      </w:r>
      <w:bookmarkStart w:id="15" w:name="_GoBack"/>
      <w:bookmarkEnd w:id="15"/>
      <w:r>
        <w:rPr>
          <w:rFonts w:ascii="Times New Roman" w:hAnsi="Times New Roman" w:cs="Times New Roman"/>
          <w:sz w:val="24"/>
          <w:szCs w:val="24"/>
        </w:rPr>
        <w:t>мочий на ее совершение, несоблюдение нотариальной формы сделки влечет признание ее ничтожной, однако если одна из сторон ее полностью исполнила, а другая уклоняется от исполнения сделки, суд вправе признать сделку действительной.</w:t>
      </w:r>
    </w:p>
    <w:p w14:paraId="7838EC52"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b/>
          <w:lang w:val="ru-RU"/>
        </w:rPr>
      </w:pPr>
      <w:r>
        <w:rPr>
          <w:b/>
          <w:lang w:val="ru-RU"/>
        </w:rPr>
        <w:t>Список использованной литературы:</w:t>
      </w:r>
    </w:p>
    <w:p w14:paraId="756384F2" w14:textId="4A81AF4E" w:rsidR="001B6C3B" w:rsidRDefault="007572E9"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1</w:t>
      </w:r>
      <w:r w:rsidR="001B6C3B">
        <w:rPr>
          <w:rFonts w:ascii="Times New Roman" w:hAnsi="Times New Roman" w:cs="Times New Roman"/>
          <w:sz w:val="24"/>
          <w:szCs w:val="24"/>
        </w:rPr>
        <w:t>.Скловский К.И. Сделка и ее действие. Комментарий главы 9 ГК РФ. Принцип добросовестности. 4-е изд., доп. Москва: Статут, 2019. 278 с.</w:t>
      </w:r>
    </w:p>
    <w:p w14:paraId="05F0307A" w14:textId="681D0665" w:rsidR="001B6C3B" w:rsidRDefault="007572E9"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w:t>
      </w:r>
      <w:r w:rsidR="001B6C3B">
        <w:rPr>
          <w:rFonts w:ascii="Times New Roman" w:hAnsi="Times New Roman" w:cs="Times New Roman"/>
          <w:sz w:val="24"/>
          <w:szCs w:val="24"/>
        </w:rPr>
        <w:t>.Иванова С.В. Гражданские права // СПС КонсультантПлюс. 2020.</w:t>
      </w:r>
    </w:p>
    <w:p w14:paraId="6A8075D6" w14:textId="44EDD26B" w:rsidR="001B6C3B" w:rsidRDefault="007572E9"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w:t>
      </w:r>
      <w:r w:rsidR="001B6C3B">
        <w:rPr>
          <w:rFonts w:ascii="Times New Roman" w:hAnsi="Times New Roman" w:cs="Times New Roman"/>
          <w:sz w:val="24"/>
          <w:szCs w:val="24"/>
        </w:rPr>
        <w:t>.Гражданское право: учебник: в 2 т. / С.С. Алексеев, О.Г. Алексеева, К.П. Беляев и др.; под ред. Б.М. Гонгало. 3-е изд., перераб. и доп. М.: Статут, 2018. Т. 1. 528 с.</w:t>
      </w:r>
    </w:p>
    <w:p w14:paraId="5D357173" w14:textId="201B469A" w:rsidR="001B6C3B" w:rsidRDefault="007572E9"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4</w:t>
      </w:r>
      <w:r w:rsidR="001B6C3B">
        <w:rPr>
          <w:rFonts w:ascii="Times New Roman" w:hAnsi="Times New Roman" w:cs="Times New Roman"/>
          <w:sz w:val="24"/>
          <w:szCs w:val="24"/>
        </w:rPr>
        <w:t>.Авхадеев В.Р., Асташова В.С., Андриченко Л.В. и др. Договор как общеправовая ценность: Монография. М.: ИЗиСП, Статут, 2018. 381 с.</w:t>
      </w:r>
    </w:p>
    <w:p w14:paraId="664E3964" w14:textId="63E3A9F4" w:rsidR="001B6C3B" w:rsidRDefault="007572E9"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5</w:t>
      </w:r>
      <w:r w:rsidR="001B6C3B">
        <w:rPr>
          <w:rFonts w:ascii="Times New Roman" w:hAnsi="Times New Roman" w:cs="Times New Roman"/>
          <w:sz w:val="24"/>
          <w:szCs w:val="24"/>
        </w:rPr>
        <w:t xml:space="preserve">.Василевская Л.Ю. Договор и соглашение в гражданском праве: критерии разграничения понятий // Юрист. 2017. </w:t>
      </w:r>
      <w:r>
        <w:rPr>
          <w:rFonts w:ascii="Times New Roman" w:hAnsi="Times New Roman" w:cs="Times New Roman"/>
          <w:sz w:val="24"/>
          <w:szCs w:val="24"/>
        </w:rPr>
        <w:t>№</w:t>
      </w:r>
      <w:r w:rsidR="001B6C3B">
        <w:rPr>
          <w:rFonts w:ascii="Times New Roman" w:hAnsi="Times New Roman" w:cs="Times New Roman"/>
          <w:sz w:val="24"/>
          <w:szCs w:val="24"/>
        </w:rPr>
        <w:t xml:space="preserve"> 22. С. 9 - 13.</w:t>
      </w:r>
    </w:p>
    <w:p w14:paraId="61FCB1C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sectPr w:rsidR="001B6C3B">
          <w:footnotePr>
            <w:numRestart w:val="eachPage"/>
          </w:footnotePr>
          <w:pgSz w:w="11906" w:h="16838"/>
          <w:pgMar w:top="1134" w:right="1134" w:bottom="1134" w:left="1134" w:header="709" w:footer="709" w:gutter="0"/>
          <w:cols w:space="720"/>
        </w:sectPr>
      </w:pPr>
    </w:p>
    <w:p w14:paraId="2AD5712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ind w:left="2835" w:right="-6"/>
        <w:jc w:val="right"/>
        <w:rPr>
          <w:rFonts w:ascii="Times New Roman" w:eastAsia="Times New Roman" w:hAnsi="Times New Roman" w:cs="Times New Roman"/>
          <w:b/>
          <w:sz w:val="24"/>
          <w:szCs w:val="28"/>
          <w:lang w:bidi="en-US"/>
        </w:rPr>
      </w:pPr>
      <w:r>
        <w:rPr>
          <w:rFonts w:ascii="Times New Roman" w:eastAsia="Times New Roman" w:hAnsi="Times New Roman" w:cs="Times New Roman"/>
          <w:b/>
          <w:sz w:val="24"/>
          <w:szCs w:val="28"/>
          <w:lang w:bidi="en-US"/>
        </w:rPr>
        <w:lastRenderedPageBreak/>
        <w:t>Раганян Алина Эдуардовна</w:t>
      </w:r>
    </w:p>
    <w:p w14:paraId="5963E5A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ind w:left="2835" w:right="-6"/>
        <w:jc w:val="right"/>
        <w:rPr>
          <w:rFonts w:ascii="Times New Roman" w:eastAsia="Times New Roman" w:hAnsi="Times New Roman" w:cs="Times New Roman"/>
          <w:b/>
          <w:sz w:val="24"/>
          <w:szCs w:val="28"/>
          <w:lang w:bidi="en-US"/>
        </w:rPr>
      </w:pPr>
      <w:r>
        <w:rPr>
          <w:rFonts w:ascii="Times New Roman" w:eastAsia="Times New Roman" w:hAnsi="Times New Roman" w:cs="Times New Roman"/>
          <w:b/>
          <w:sz w:val="24"/>
          <w:szCs w:val="28"/>
          <w:lang w:val="en-US" w:bidi="en-US"/>
        </w:rPr>
        <w:t>Raganyan</w:t>
      </w:r>
      <w:r w:rsidRPr="006D3A58">
        <w:rPr>
          <w:rFonts w:ascii="Times New Roman" w:eastAsia="Times New Roman" w:hAnsi="Times New Roman" w:cs="Times New Roman"/>
          <w:b/>
          <w:sz w:val="24"/>
          <w:szCs w:val="28"/>
          <w:lang w:bidi="en-US"/>
        </w:rPr>
        <w:t xml:space="preserve"> </w:t>
      </w:r>
      <w:r>
        <w:rPr>
          <w:rFonts w:ascii="Times New Roman" w:eastAsia="Times New Roman" w:hAnsi="Times New Roman" w:cs="Times New Roman"/>
          <w:b/>
          <w:sz w:val="24"/>
          <w:szCs w:val="28"/>
          <w:lang w:val="en-US" w:bidi="en-US"/>
        </w:rPr>
        <w:t>Alina</w:t>
      </w:r>
      <w:r w:rsidRPr="006D3A58">
        <w:rPr>
          <w:rFonts w:ascii="Times New Roman" w:eastAsia="Times New Roman" w:hAnsi="Times New Roman" w:cs="Times New Roman"/>
          <w:b/>
          <w:sz w:val="24"/>
          <w:szCs w:val="28"/>
          <w:lang w:bidi="en-US"/>
        </w:rPr>
        <w:t xml:space="preserve"> </w:t>
      </w:r>
      <w:r>
        <w:rPr>
          <w:rFonts w:ascii="Times New Roman" w:eastAsia="Times New Roman" w:hAnsi="Times New Roman" w:cs="Times New Roman"/>
          <w:b/>
          <w:sz w:val="24"/>
          <w:szCs w:val="28"/>
          <w:lang w:val="en-US" w:bidi="en-US"/>
        </w:rPr>
        <w:t>Eduardovna</w:t>
      </w:r>
    </w:p>
    <w:p w14:paraId="686D04E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835"/>
        <w:jc w:val="right"/>
        <w:rPr>
          <w:rFonts w:ascii="Times New Roman" w:eastAsia="Times New Roman" w:hAnsi="Times New Roman" w:cs="Times New Roman"/>
          <w:sz w:val="24"/>
          <w:szCs w:val="28"/>
          <w:lang w:bidi="en-US"/>
        </w:rPr>
      </w:pPr>
      <w:r>
        <w:rPr>
          <w:rFonts w:ascii="Times New Roman" w:eastAsia="Times New Roman" w:hAnsi="Times New Roman" w:cs="Times New Roman"/>
          <w:sz w:val="24"/>
          <w:szCs w:val="28"/>
          <w:lang w:bidi="en-US"/>
        </w:rPr>
        <w:t>бакалавр Федеральное государственное бюджетное образовательное учреждение высшего образования «Кубанский государственный аграрный университет имени И.Т. Трубилина»</w:t>
      </w:r>
    </w:p>
    <w:p w14:paraId="3961698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2835"/>
        <w:jc w:val="right"/>
        <w:rPr>
          <w:rFonts w:ascii="Times New Roman" w:eastAsia="Calibri" w:hAnsi="Times New Roman" w:cs="Times New Roman"/>
          <w:sz w:val="24"/>
          <w:szCs w:val="28"/>
          <w:lang w:val="en-US"/>
        </w:rPr>
      </w:pPr>
      <w:r>
        <w:rPr>
          <w:rFonts w:ascii="Times New Roman" w:eastAsia="Calibri" w:hAnsi="Times New Roman" w:cs="Times New Roman"/>
          <w:sz w:val="24"/>
          <w:szCs w:val="28"/>
          <w:lang w:val="en-US"/>
        </w:rPr>
        <w:t>Federal State Budgetary Educational Institution of Higher Education</w:t>
      </w:r>
    </w:p>
    <w:p w14:paraId="691A63E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2835"/>
        <w:jc w:val="right"/>
        <w:rPr>
          <w:rFonts w:ascii="Times New Roman" w:eastAsia="Calibri" w:hAnsi="Times New Roman" w:cs="Times New Roman"/>
          <w:sz w:val="24"/>
          <w:szCs w:val="28"/>
          <w:lang w:val="en-US"/>
        </w:rPr>
      </w:pPr>
      <w:r>
        <w:rPr>
          <w:rFonts w:ascii="Times New Roman" w:eastAsia="Calibri" w:hAnsi="Times New Roman" w:cs="Times New Roman"/>
          <w:sz w:val="24"/>
          <w:szCs w:val="28"/>
          <w:lang w:val="en-US"/>
        </w:rPr>
        <w:t>“Kuban State Agrarian University named after I.T. Trubilin”</w:t>
      </w:r>
    </w:p>
    <w:p w14:paraId="3477FC3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2835"/>
        <w:jc w:val="right"/>
        <w:rPr>
          <w:rFonts w:ascii="Times New Roman" w:eastAsia="Calibri" w:hAnsi="Times New Roman" w:cs="Times New Roman"/>
          <w:sz w:val="24"/>
          <w:szCs w:val="28"/>
        </w:rPr>
      </w:pPr>
      <w:r>
        <w:rPr>
          <w:rFonts w:ascii="Times New Roman" w:eastAsia="Calibri" w:hAnsi="Times New Roman" w:cs="Times New Roman"/>
          <w:sz w:val="24"/>
          <w:szCs w:val="28"/>
        </w:rPr>
        <w:t>Российская Федерация, г. Краснодар</w:t>
      </w:r>
    </w:p>
    <w:p w14:paraId="7A13E5F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2835"/>
        <w:jc w:val="right"/>
        <w:rPr>
          <w:rFonts w:ascii="Times New Roman" w:eastAsia="Calibri" w:hAnsi="Times New Roman" w:cs="Times New Roman"/>
          <w:sz w:val="24"/>
          <w:szCs w:val="28"/>
        </w:rPr>
      </w:pPr>
      <w:r>
        <w:rPr>
          <w:rFonts w:ascii="Times New Roman" w:eastAsia="Calibri" w:hAnsi="Times New Roman" w:cs="Times New Roman"/>
          <w:sz w:val="24"/>
          <w:szCs w:val="28"/>
          <w:lang w:val="en-US"/>
        </w:rPr>
        <w:t>Russian</w:t>
      </w:r>
      <w:r w:rsidRPr="00430C1C">
        <w:rPr>
          <w:rFonts w:ascii="Times New Roman" w:eastAsia="Calibri" w:hAnsi="Times New Roman" w:cs="Times New Roman"/>
          <w:sz w:val="24"/>
          <w:szCs w:val="28"/>
        </w:rPr>
        <w:t xml:space="preserve"> </w:t>
      </w:r>
      <w:r>
        <w:rPr>
          <w:rFonts w:ascii="Times New Roman" w:eastAsia="Calibri" w:hAnsi="Times New Roman" w:cs="Times New Roman"/>
          <w:sz w:val="24"/>
          <w:szCs w:val="28"/>
          <w:lang w:val="en-US"/>
        </w:rPr>
        <w:t>Federation</w:t>
      </w:r>
      <w:r>
        <w:rPr>
          <w:rFonts w:ascii="Times New Roman" w:eastAsia="Calibri" w:hAnsi="Times New Roman" w:cs="Times New Roman"/>
          <w:sz w:val="24"/>
          <w:szCs w:val="28"/>
        </w:rPr>
        <w:t xml:space="preserve">, </w:t>
      </w:r>
      <w:r>
        <w:rPr>
          <w:rFonts w:ascii="Times New Roman" w:eastAsia="Calibri" w:hAnsi="Times New Roman" w:cs="Times New Roman"/>
          <w:sz w:val="24"/>
          <w:szCs w:val="28"/>
          <w:lang w:val="en-US"/>
        </w:rPr>
        <w:t>Krasnodar</w:t>
      </w:r>
    </w:p>
    <w:p w14:paraId="686AAEC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2835"/>
        <w:jc w:val="right"/>
        <w:rPr>
          <w:rFonts w:ascii="Times New Roman" w:hAnsi="Times New Roman" w:cs="Times New Roman"/>
          <w:sz w:val="24"/>
          <w:szCs w:val="28"/>
          <w:lang w:bidi="en-US"/>
        </w:rPr>
      </w:pPr>
      <w:r>
        <w:rPr>
          <w:rFonts w:ascii="Times New Roman" w:hAnsi="Times New Roman" w:cs="Times New Roman"/>
          <w:sz w:val="24"/>
          <w:szCs w:val="28"/>
          <w:lang w:val="en-US" w:bidi="en-US"/>
        </w:rPr>
        <w:t>alinragan</w:t>
      </w:r>
      <w:r>
        <w:rPr>
          <w:rFonts w:ascii="Times New Roman" w:hAnsi="Times New Roman" w:cs="Times New Roman"/>
          <w:sz w:val="24"/>
          <w:szCs w:val="28"/>
          <w:lang w:bidi="en-US"/>
        </w:rPr>
        <w:t>01@</w:t>
      </w:r>
      <w:r>
        <w:rPr>
          <w:rFonts w:ascii="Times New Roman" w:hAnsi="Times New Roman" w:cs="Times New Roman"/>
          <w:sz w:val="24"/>
          <w:szCs w:val="28"/>
          <w:lang w:val="en-US" w:bidi="en-US"/>
        </w:rPr>
        <w:t>mail</w:t>
      </w:r>
      <w:r>
        <w:rPr>
          <w:rFonts w:ascii="Times New Roman" w:hAnsi="Times New Roman" w:cs="Times New Roman"/>
          <w:sz w:val="24"/>
          <w:szCs w:val="28"/>
          <w:lang w:bidi="en-US"/>
        </w:rPr>
        <w:t>.</w:t>
      </w:r>
      <w:r>
        <w:rPr>
          <w:rFonts w:ascii="Times New Roman" w:hAnsi="Times New Roman" w:cs="Times New Roman"/>
          <w:sz w:val="24"/>
          <w:szCs w:val="28"/>
          <w:lang w:val="en-US" w:bidi="en-US"/>
        </w:rPr>
        <w:t>ru</w:t>
      </w:r>
    </w:p>
    <w:p w14:paraId="5FBF744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2835"/>
        <w:jc w:val="right"/>
        <w:rPr>
          <w:rFonts w:ascii="Times New Roman" w:hAnsi="Times New Roman" w:cs="Times New Roman"/>
          <w:b/>
          <w:sz w:val="24"/>
          <w:szCs w:val="28"/>
          <w:lang w:bidi="en-US"/>
        </w:rPr>
      </w:pPr>
      <w:r>
        <w:rPr>
          <w:rFonts w:ascii="Times New Roman" w:hAnsi="Times New Roman" w:cs="Times New Roman"/>
          <w:b/>
          <w:sz w:val="24"/>
          <w:szCs w:val="28"/>
          <w:lang w:bidi="en-US"/>
        </w:rPr>
        <w:t>Кончаков Александр Борисович</w:t>
      </w:r>
    </w:p>
    <w:p w14:paraId="4EDD019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2835"/>
        <w:jc w:val="right"/>
        <w:rPr>
          <w:rFonts w:ascii="Times New Roman" w:hAnsi="Times New Roman" w:cs="Times New Roman"/>
          <w:sz w:val="24"/>
          <w:szCs w:val="28"/>
          <w:lang w:bidi="en-US"/>
        </w:rPr>
      </w:pPr>
      <w:r>
        <w:rPr>
          <w:rFonts w:ascii="Times New Roman" w:hAnsi="Times New Roman" w:cs="Times New Roman"/>
          <w:sz w:val="24"/>
          <w:szCs w:val="28"/>
          <w:lang w:bidi="en-US"/>
        </w:rPr>
        <w:t>Konchakov Alexander Borisovich</w:t>
      </w:r>
    </w:p>
    <w:p w14:paraId="0F93CFD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2835"/>
        <w:jc w:val="right"/>
        <w:rPr>
          <w:rFonts w:ascii="Times New Roman" w:hAnsi="Times New Roman" w:cs="Times New Roman"/>
          <w:sz w:val="24"/>
          <w:szCs w:val="28"/>
          <w:lang w:bidi="en-US"/>
        </w:rPr>
      </w:pPr>
      <w:r>
        <w:rPr>
          <w:rFonts w:ascii="Times New Roman" w:hAnsi="Times New Roman" w:cs="Times New Roman"/>
          <w:sz w:val="24"/>
          <w:szCs w:val="28"/>
          <w:lang w:bidi="en-US"/>
        </w:rPr>
        <w:t>преподаватель кафедры гражданского права Федеральное государственное бюджетное образовательное учреждение высшего образования «Кубанский государственный аграрный университет имени И.Т. Трубилина»</w:t>
      </w:r>
    </w:p>
    <w:p w14:paraId="3499ED0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2835"/>
        <w:jc w:val="right"/>
        <w:rPr>
          <w:rFonts w:ascii="Times New Roman" w:hAnsi="Times New Roman" w:cs="Times New Roman"/>
          <w:sz w:val="24"/>
          <w:szCs w:val="28"/>
          <w:lang w:val="en-US" w:bidi="en-US"/>
        </w:rPr>
      </w:pPr>
      <w:r>
        <w:rPr>
          <w:rFonts w:ascii="Times New Roman" w:hAnsi="Times New Roman" w:cs="Times New Roman"/>
          <w:sz w:val="24"/>
          <w:szCs w:val="28"/>
          <w:lang w:val="en-US" w:bidi="en-US"/>
        </w:rPr>
        <w:t>teacher of the Department of civil law</w:t>
      </w:r>
    </w:p>
    <w:p w14:paraId="1026478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2835"/>
        <w:jc w:val="right"/>
        <w:rPr>
          <w:rFonts w:ascii="Times New Roman" w:hAnsi="Times New Roman" w:cs="Times New Roman"/>
          <w:sz w:val="24"/>
          <w:szCs w:val="28"/>
          <w:lang w:val="en-US" w:bidi="en-US"/>
        </w:rPr>
      </w:pPr>
      <w:r>
        <w:rPr>
          <w:rFonts w:ascii="Times New Roman" w:hAnsi="Times New Roman" w:cs="Times New Roman"/>
          <w:sz w:val="24"/>
          <w:szCs w:val="28"/>
          <w:lang w:val="en-US" w:bidi="en-US"/>
        </w:rPr>
        <w:t>Federal State Budgetary Educational Institution of Higher Education</w:t>
      </w:r>
    </w:p>
    <w:p w14:paraId="279221A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2835"/>
        <w:jc w:val="right"/>
        <w:rPr>
          <w:rFonts w:ascii="Times New Roman" w:hAnsi="Times New Roman" w:cs="Times New Roman"/>
          <w:sz w:val="24"/>
          <w:szCs w:val="28"/>
          <w:lang w:val="en-US" w:bidi="en-US"/>
        </w:rPr>
      </w:pPr>
      <w:r>
        <w:rPr>
          <w:rFonts w:ascii="Times New Roman" w:hAnsi="Times New Roman" w:cs="Times New Roman"/>
          <w:sz w:val="24"/>
          <w:szCs w:val="28"/>
          <w:lang w:val="en-US" w:bidi="en-US"/>
        </w:rPr>
        <w:t>“Kuban State Agrarian University named after I.T. Trubilin”</w:t>
      </w:r>
    </w:p>
    <w:p w14:paraId="2C215B2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2835"/>
        <w:jc w:val="right"/>
        <w:rPr>
          <w:rFonts w:ascii="Times New Roman" w:hAnsi="Times New Roman" w:cs="Times New Roman"/>
          <w:sz w:val="24"/>
          <w:szCs w:val="28"/>
          <w:lang w:bidi="en-US"/>
        </w:rPr>
      </w:pPr>
      <w:r>
        <w:rPr>
          <w:rFonts w:ascii="Times New Roman" w:hAnsi="Times New Roman" w:cs="Times New Roman"/>
          <w:sz w:val="24"/>
          <w:szCs w:val="28"/>
          <w:lang w:bidi="en-US"/>
        </w:rPr>
        <w:t>Российская Федерация, г. Краснодар</w:t>
      </w:r>
    </w:p>
    <w:p w14:paraId="16B1F6E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2835"/>
        <w:jc w:val="right"/>
        <w:rPr>
          <w:rFonts w:ascii="Times New Roman" w:hAnsi="Times New Roman" w:cs="Times New Roman"/>
          <w:sz w:val="24"/>
          <w:szCs w:val="28"/>
          <w:lang w:bidi="en-US"/>
        </w:rPr>
      </w:pPr>
      <w:r>
        <w:rPr>
          <w:rFonts w:ascii="Times New Roman" w:hAnsi="Times New Roman" w:cs="Times New Roman"/>
          <w:sz w:val="24"/>
          <w:szCs w:val="28"/>
          <w:lang w:bidi="en-US"/>
        </w:rPr>
        <w:t>Russian Federation, Krasnodar</w:t>
      </w:r>
    </w:p>
    <w:p w14:paraId="445AB83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2835"/>
        <w:jc w:val="right"/>
        <w:rPr>
          <w:rFonts w:ascii="Times New Roman" w:hAnsi="Times New Roman" w:cs="Times New Roman"/>
          <w:sz w:val="24"/>
          <w:szCs w:val="28"/>
          <w:lang w:bidi="en-US"/>
        </w:rPr>
      </w:pPr>
      <w:r>
        <w:rPr>
          <w:rFonts w:ascii="Times New Roman" w:hAnsi="Times New Roman" w:cs="Times New Roman"/>
          <w:sz w:val="24"/>
          <w:szCs w:val="28"/>
          <w:lang w:bidi="en-US"/>
        </w:rPr>
        <w:t>abk23@list.ru</w:t>
      </w:r>
    </w:p>
    <w:p w14:paraId="6758FE5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2835"/>
        <w:jc w:val="right"/>
        <w:rPr>
          <w:rFonts w:ascii="Times New Roman" w:hAnsi="Times New Roman" w:cs="Times New Roman"/>
          <w:b/>
          <w:sz w:val="28"/>
          <w:szCs w:val="28"/>
          <w:lang w:bidi="en-US"/>
        </w:rPr>
      </w:pPr>
    </w:p>
    <w:p w14:paraId="5C219DC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2835"/>
        <w:jc w:val="right"/>
        <w:rPr>
          <w:rFonts w:ascii="Times New Roman" w:eastAsia="Calibri" w:hAnsi="Times New Roman" w:cs="Times New Roman"/>
          <w:sz w:val="28"/>
          <w:szCs w:val="28"/>
        </w:rPr>
      </w:pPr>
    </w:p>
    <w:p w14:paraId="10AEBD27" w14:textId="77777777" w:rsidR="001B6C3B" w:rsidRDefault="001B6C3B" w:rsidP="001B6C3B">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2"/>
        </w:rPr>
      </w:pPr>
      <w:r>
        <w:rPr>
          <w:b/>
          <w:sz w:val="22"/>
        </w:rPr>
        <w:t>ПРАВО БЕССРОЧНОГО ПОЛЬЗОВАНИЯ ПРИВАТИЗИРОВАННЫМ ЖИЛЫМ ПОМЕЩЕНИЕМ</w:t>
      </w:r>
    </w:p>
    <w:p w14:paraId="1A9B3D30" w14:textId="77777777" w:rsidR="001B6C3B" w:rsidRDefault="001B6C3B" w:rsidP="001B6C3B">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2"/>
          <w:lang w:val="en-US"/>
        </w:rPr>
      </w:pPr>
      <w:r>
        <w:rPr>
          <w:b/>
          <w:sz w:val="22"/>
        </w:rPr>
        <w:t xml:space="preserve"> </w:t>
      </w:r>
      <w:r>
        <w:rPr>
          <w:b/>
          <w:sz w:val="22"/>
          <w:lang w:val="en-US"/>
        </w:rPr>
        <w:t>THE RIGHT OF UNLIMITED USE OF PRIVATIZED RESIDENTIAL PREMISES</w:t>
      </w:r>
    </w:p>
    <w:p w14:paraId="508720DF"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i/>
          <w:sz w:val="24"/>
        </w:rPr>
      </w:pPr>
      <w:r>
        <w:rPr>
          <w:rFonts w:ascii="Times New Roman" w:hAnsi="Times New Roman" w:cs="Times New Roman"/>
          <w:b/>
          <w:i/>
          <w:sz w:val="24"/>
        </w:rPr>
        <w:t>Аннотация</w:t>
      </w:r>
      <w:r>
        <w:rPr>
          <w:rFonts w:ascii="Times New Roman" w:hAnsi="Times New Roman" w:cs="Times New Roman"/>
          <w:i/>
          <w:sz w:val="24"/>
        </w:rPr>
        <w:t xml:space="preserve">: </w:t>
      </w:r>
      <w:r>
        <w:rPr>
          <w:rFonts w:ascii="Times New Roman" w:hAnsi="Times New Roman" w:cs="Times New Roman"/>
          <w:sz w:val="24"/>
        </w:rPr>
        <w:t>В статье рассматривается вопрос права бессрочного пользования приватизированным жилым помещением, конкретизируются категории лиц, обладающих таким правом, ставится вопрос о столкновении интересов собственников жилья и лиц, обладающих правом пользования не принадлежащими им жилыми помещениями.</w:t>
      </w:r>
      <w:r>
        <w:rPr>
          <w:rFonts w:ascii="Times New Roman" w:hAnsi="Times New Roman" w:cs="Times New Roman"/>
        </w:rPr>
        <w:t xml:space="preserve"> </w:t>
      </w:r>
      <w:r>
        <w:rPr>
          <w:rFonts w:ascii="Times New Roman" w:hAnsi="Times New Roman" w:cs="Times New Roman"/>
          <w:sz w:val="24"/>
        </w:rPr>
        <w:t>Вопрос о праве на жилое помещение относится к числу наиболее актуальных для всех граждан России. В то же время сделки по поводу жилого помещения влияют и на общую экономическую ситуацию в стране.</w:t>
      </w:r>
      <w:r>
        <w:rPr>
          <w:rFonts w:ascii="Times New Roman" w:hAnsi="Times New Roman" w:cs="Times New Roman"/>
          <w:i/>
          <w:sz w:val="24"/>
        </w:rPr>
        <w:t xml:space="preserve">  </w:t>
      </w:r>
    </w:p>
    <w:p w14:paraId="6B04DAF5"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i/>
          <w:sz w:val="24"/>
        </w:rPr>
      </w:pPr>
      <w:r>
        <w:rPr>
          <w:rFonts w:ascii="Times New Roman" w:hAnsi="Times New Roman" w:cs="Times New Roman"/>
          <w:b/>
          <w:bCs/>
          <w:i/>
          <w:sz w:val="24"/>
        </w:rPr>
        <w:t>Ключевые слова</w:t>
      </w:r>
      <w:r>
        <w:rPr>
          <w:rFonts w:ascii="Times New Roman" w:hAnsi="Times New Roman" w:cs="Times New Roman"/>
          <w:b/>
          <w:i/>
          <w:sz w:val="24"/>
        </w:rPr>
        <w:t>:</w:t>
      </w:r>
      <w:r>
        <w:rPr>
          <w:rFonts w:ascii="Times New Roman" w:hAnsi="Times New Roman" w:cs="Times New Roman"/>
          <w:i/>
          <w:sz w:val="24"/>
        </w:rPr>
        <w:t xml:space="preserve">  </w:t>
      </w:r>
      <w:r>
        <w:rPr>
          <w:rFonts w:ascii="Times New Roman" w:hAnsi="Times New Roman" w:cs="Times New Roman"/>
          <w:sz w:val="24"/>
        </w:rPr>
        <w:t>гражданское право, приватизация, жилое помещение, право собственности, право пользования, право владения, право распоряжения, бессрочное пользование жилым помещением.</w:t>
      </w:r>
    </w:p>
    <w:p w14:paraId="3450E1F0"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bCs/>
          <w:sz w:val="24"/>
          <w:lang w:val="en-US"/>
        </w:rPr>
      </w:pPr>
      <w:r>
        <w:rPr>
          <w:rFonts w:ascii="Times New Roman" w:hAnsi="Times New Roman" w:cs="Times New Roman"/>
          <w:b/>
          <w:bCs/>
          <w:i/>
          <w:iCs/>
          <w:sz w:val="24"/>
        </w:rPr>
        <w:t>А</w:t>
      </w:r>
      <w:r>
        <w:rPr>
          <w:rFonts w:ascii="Times New Roman" w:hAnsi="Times New Roman" w:cs="Times New Roman"/>
          <w:b/>
          <w:bCs/>
          <w:i/>
          <w:iCs/>
          <w:sz w:val="24"/>
          <w:lang w:val="en-US"/>
        </w:rPr>
        <w:t>nnotation</w:t>
      </w:r>
      <w:r>
        <w:rPr>
          <w:rFonts w:ascii="Times New Roman" w:hAnsi="Times New Roman" w:cs="Times New Roman"/>
          <w:bCs/>
          <w:i/>
          <w:iCs/>
          <w:sz w:val="24"/>
          <w:lang w:val="en-US"/>
        </w:rPr>
        <w:t xml:space="preserve">: </w:t>
      </w:r>
      <w:r>
        <w:rPr>
          <w:rFonts w:ascii="Times New Roman" w:hAnsi="Times New Roman" w:cs="Times New Roman"/>
          <w:bCs/>
          <w:iCs/>
          <w:sz w:val="24"/>
          <w:lang w:val="en-US"/>
        </w:rPr>
        <w:t>The article discusses the issue of the right of unlimited use of privatized residential premises, specifies the categories of persons with such a right, raises the question of the conflict of interests between homeowners and people who have the right to use non-residential premises. The issue of the right to housing is one of the most pressing issues for all citizens of Russia. At the same time, residential transactions also affect the general economic situation in the country.</w:t>
      </w:r>
    </w:p>
    <w:p w14:paraId="1DF8949F"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i/>
          <w:sz w:val="24"/>
          <w:lang w:val="en-US"/>
        </w:rPr>
      </w:pPr>
      <w:r>
        <w:rPr>
          <w:rFonts w:ascii="Times New Roman" w:hAnsi="Times New Roman" w:cs="Times New Roman"/>
          <w:b/>
          <w:iCs/>
          <w:sz w:val="24"/>
          <w:lang w:val="en-US"/>
        </w:rPr>
        <w:t>Keywords</w:t>
      </w:r>
      <w:r>
        <w:rPr>
          <w:rFonts w:ascii="Times New Roman" w:hAnsi="Times New Roman" w:cs="Times New Roman"/>
          <w:iCs/>
          <w:sz w:val="24"/>
          <w:lang w:val="en-US"/>
        </w:rPr>
        <w:t>: civil law, privatization, premises, ownership, right to use, ownership, disposal rights, unlimited use of premises.</w:t>
      </w:r>
    </w:p>
    <w:p w14:paraId="646A68D5" w14:textId="77777777" w:rsidR="001B6C3B" w:rsidRDefault="001B6C3B" w:rsidP="001B6C3B">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lang w:val="en-US"/>
        </w:rPr>
      </w:pPr>
    </w:p>
    <w:p w14:paraId="6144A1BF" w14:textId="77777777" w:rsidR="001B6C3B" w:rsidRDefault="001B6C3B" w:rsidP="001B6C3B">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pPr>
      <w:r>
        <w:t xml:space="preserve">По общему правилу право собственности на жилое помещение предоставляет обладателю этого права весь спектр правомочий, таких как: право владения, право </w:t>
      </w:r>
      <w:r>
        <w:lastRenderedPageBreak/>
        <w:t>пользования и право распоряжения принадлежащим ему жилым помещением. Предполагается, что собственник жилого помещения обладает всей полнотой власти над недвижимостью и волен всецело распоряжаться судьбой своего имущества.</w:t>
      </w:r>
    </w:p>
    <w:p w14:paraId="20FE0B95" w14:textId="77777777" w:rsidR="001B6C3B" w:rsidRDefault="001B6C3B" w:rsidP="001B6C3B">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pPr>
      <w:r>
        <w:t>Так, в соответствии с ст. 209 Гражданского Кодекса Российской Федерации собственник вправе по своему усмотрению совершать в отношении принадлежащего ему имущества любые действия, не противоречащие закону и иным правовым актам и не нарушающие права и охраняемые законом интересы других лиц, в том числе отчуждать свое имущество в собственность другим лицам, передавать им, оставаясь собственником, права владения, пользования и распоряжения имуществом, отдавать имущество в залог и обременять его другими способами, распоряжаться им иным образом.</w:t>
      </w:r>
    </w:p>
    <w:p w14:paraId="4D0F1BE2" w14:textId="77777777" w:rsidR="001B6C3B" w:rsidRDefault="001B6C3B" w:rsidP="001B6C3B">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pPr>
      <w:r>
        <w:t>Ст. 288 ГК РФ устанавливает, что собственник осуществляет права владения, пользования и распоряжения принадлежащим ему жилым помещением в соответствии с его назначением.</w:t>
      </w:r>
    </w:p>
    <w:p w14:paraId="57AD9540" w14:textId="77777777" w:rsidR="001B6C3B" w:rsidRDefault="001B6C3B" w:rsidP="001B6C3B">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pPr>
      <w:r>
        <w:t>Согласно ЖК РФ новый собственник жилого помещения вправе требовать от членов семьи бывшего собственника освободить занимаемое ими жилое помещение и сняться с регистрационного учета по соответствующему адресу, и те, в свою очередь, должны выполнить заявленное требование.</w:t>
      </w:r>
    </w:p>
    <w:p w14:paraId="3943A486" w14:textId="77777777" w:rsidR="001B6C3B" w:rsidRDefault="001B6C3B" w:rsidP="001B6C3B">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pPr>
      <w:r>
        <w:t>В силу ст. 19 ФЗ «О введении в действие Жилищного Кодекса Российской Федерации» действие положений части 4 статьи 31 ЖК РФ не распространяется на бывших членов семьи собственника приватизированного жилого помещения при условии, что в момент приватизации данного жилого помещения указанные лица имели равные права пользования этим помещением с лицом, его приватизировавшим, если иное не установлено законом или договором.</w:t>
      </w:r>
    </w:p>
    <w:p w14:paraId="730B6E36" w14:textId="77777777" w:rsidR="001B6C3B" w:rsidRDefault="001B6C3B" w:rsidP="001B6C3B">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 xml:space="preserve"> </w:t>
      </w:r>
      <w:r>
        <w:tab/>
        <w:t>Верховный Суд РФ в Обзоре законодательства и судебной практики ВС РФ за первый квартал 2008г., утвержденном Постановлением Президиума ВС РФ от 28 мая 2008г., постановил, что при прекращении семейных отношений с собственником приватизированного жилого помещения за бывшим членом семьи собственника, реализовавшим своё право на бесплатную приватизацию, сохраняется право пользования приватизированным жилым помещением, так как на приватизацию этого жилого помещения необходимо было его согласие. Данное право пользования жилым помещением сохраняется за бывшим членом семьи собственника и при переходе права собственности на жилое помещение к другому лицу.</w:t>
      </w:r>
      <w:r>
        <w:rPr>
          <w:rStyle w:val="a7"/>
        </w:rPr>
        <w:footnoteReference w:id="300"/>
      </w:r>
      <w:r>
        <w:t xml:space="preserve"> Таким образом, бывшие члены семьи собственника приватизированного жилья имеют бессрочное право пользования жилым помещением, на приватизацию которого они дали свое согласие. Отказавшись от участия в приватизации, они дают согласие на приобретение жилого помещения другим участникам, то есть благодаря передачи своего права на жилое помещение другим лицам, возникает право бессрочного пользования жилым помещением.</w:t>
      </w:r>
      <w:r>
        <w:rPr>
          <w:rStyle w:val="a7"/>
        </w:rPr>
        <w:footnoteReference w:id="301"/>
      </w:r>
    </w:p>
    <w:p w14:paraId="188FFD0A" w14:textId="77777777" w:rsidR="001B6C3B" w:rsidRDefault="001B6C3B" w:rsidP="001B6C3B">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pPr>
      <w:r>
        <w:t>Судебная практика же в свою очередь изобилует такими примерами, где суды выносят решения в пользу лиц, отказавшихся от участия в приватизации жилого помещения, но давших свое согласие на осуществление приватизации.</w:t>
      </w:r>
    </w:p>
    <w:p w14:paraId="66EB2001" w14:textId="77777777" w:rsidR="001B6C3B" w:rsidRDefault="001B6C3B" w:rsidP="001B6C3B">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pPr>
      <w:r>
        <w:t xml:space="preserve">Например, в Советский районный суд г. Уфа обратился М. с требованиями выселить из принадлежащей ему на праве собственности квартиры его бывшую супругу Л., ссылаясь на то, что брак между ними расторгнут, но между тем Л. не освобождает квартиру, продолжает в </w:t>
      </w:r>
      <w:r>
        <w:lastRenderedPageBreak/>
        <w:t>ней проживать и, тем самым, нарушает его права как собственника жилого помещения. Л. исковые требования М. не признала, ссылаясь на то, что данную квартиру по договору социального найма занимали М., Л., их дочь С. и мать бывшего супруга Г. Впоследствии квартира была приватизирована на имя М., остальные же члены семьи дали свое согласие на осуществление такой приватизации. По истечении определенного периода времени брак между истцом и ответчицей был расторгнут, но несмотря на это она имеет право бессрочного проживания в спорной квартире как бывший член семьи собственника, поскольку без согласия Л. приватизация не могла быть осуществлена. Советский районный суд г. Уфа отказал в удовлетворении исковых требований М. Верховный суд Республики Башкортостан оставил вынесенное решение в силе.</w:t>
      </w:r>
    </w:p>
    <w:p w14:paraId="6537A91E" w14:textId="77777777" w:rsidR="001B6C3B" w:rsidRDefault="001B6C3B" w:rsidP="001B6C3B">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pPr>
      <w:r>
        <w:t>Или иной случай: Д. обратилась в суд с указанным иском, ссылаясь на то, что является собственником двухкомнатной квартиры на основании договора купли – продажи. В спорной квартире зарегистрированы: С. и ее двое сыновей: С.А.. и несовершеннолетний С.П. После перехода права собственности на квартиру к истцу, в добровольном порядке С. с детьми сняться с регистрационного учета не желают. спорная квартира являлась кооперативной. Ответчики приобрели право пользования квартирой до введения в действие ЖК РФ. Законодательство, действовавшее на момент возникновения жилищных правоотношений, устанавливало прямую зависимость размера предоставляемого жилого помещения в кооперативных домах от состава семьи члена ЖСК. В связи с чем, спорная квартира предоставлялась бывшему собственнику Д. на состав семьи 2 человека с учетом ответчика Савиной Е.Л., которая была включена в ордер на жилое помещение. Савин А.С. был вселен в качестве члена семьи Д. в 1999 году. Таким образом, ответчики приобрели равные с бывшим собственником квартиры права на проживание в ней. В связи с чем, положения ст. 31 ЖК РФ на спорные правоотношения не распространяются. Прекращение семейных отношений с бывшим собственником жилого помещения, в том числе при отчуждении жилого помещения, не является основанием для прекращения права пользования жилым помещением ответчиков. Другого жилого помещения на праве собственности ответчики не имеют, надлежащим образом исполняют обязанности по оплате за жилье и коммунальные услуги. Суд решил исковые требования Д. к С., С.А., С.П. о прекращении права пользования жилым помещением и выселении, оставить без удовлетворения.</w:t>
      </w:r>
    </w:p>
    <w:p w14:paraId="235FCD2D" w14:textId="77777777" w:rsidR="001B6C3B" w:rsidRDefault="001B6C3B" w:rsidP="001B6C3B">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Гражданский кодекс Российской Федерации выделяет следующие признаки ограниченного вещного права: права на имущество, принадлежащее иному лицу; собственник имущества сохраняет за собой в ограниченном виде все свои правомочия в отношении этого имущества; ограниченное право на имущество, закрепленное за конкретным предметом владения, не зависит от смены владельца, оно обременяет данный предмет бессрочно; предметом ограниченного вещного права чаще всего является недвижимость; полный перечень ограничения прав на владение имуществом и их содержание предусмотрен законодательством, вследствие этого стороны не вправе автономно менять его содержание, а также ограниченные вещные права действительны только в случае обязательной государственной регистрации.</w:t>
      </w:r>
      <w:r>
        <w:rPr>
          <w:rStyle w:val="a7"/>
        </w:rPr>
        <w:footnoteReference w:id="302"/>
      </w:r>
      <w:r>
        <w:t xml:space="preserve"> В Гражданском Кодексе в качестве ограниченных вещных прав выступают:</w:t>
      </w:r>
    </w:p>
    <w:p w14:paraId="2D4EF2B1" w14:textId="77777777" w:rsidR="001B6C3B" w:rsidRDefault="001B6C3B" w:rsidP="00E3198A">
      <w:pPr>
        <w:pStyle w:val="aa"/>
        <w:numPr>
          <w:ilvl w:val="0"/>
          <w:numId w:val="2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Сервитут</w:t>
      </w:r>
    </w:p>
    <w:p w14:paraId="48C144BF" w14:textId="77777777" w:rsidR="001B6C3B" w:rsidRDefault="001B6C3B" w:rsidP="00E3198A">
      <w:pPr>
        <w:pStyle w:val="aa"/>
        <w:numPr>
          <w:ilvl w:val="0"/>
          <w:numId w:val="2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 xml:space="preserve">Право пожизненного наследуемого владения земельным участком </w:t>
      </w:r>
    </w:p>
    <w:p w14:paraId="39772210" w14:textId="77777777" w:rsidR="001B6C3B" w:rsidRDefault="001B6C3B" w:rsidP="00E3198A">
      <w:pPr>
        <w:pStyle w:val="aa"/>
        <w:numPr>
          <w:ilvl w:val="0"/>
          <w:numId w:val="2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Право хозяйственного ведения имуществом</w:t>
      </w:r>
    </w:p>
    <w:p w14:paraId="2A628F03" w14:textId="77777777" w:rsidR="001B6C3B" w:rsidRDefault="001B6C3B" w:rsidP="00E3198A">
      <w:pPr>
        <w:pStyle w:val="aa"/>
        <w:numPr>
          <w:ilvl w:val="0"/>
          <w:numId w:val="2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 xml:space="preserve">Право оперативного управления имуществом, </w:t>
      </w:r>
    </w:p>
    <w:p w14:paraId="22153FB5" w14:textId="77777777" w:rsidR="001B6C3B" w:rsidRDefault="001B6C3B" w:rsidP="00E3198A">
      <w:pPr>
        <w:pStyle w:val="aa"/>
        <w:numPr>
          <w:ilvl w:val="0"/>
          <w:numId w:val="2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lastRenderedPageBreak/>
        <w:t xml:space="preserve">Право постоянного (бессрочного) пользования земельным участком. </w:t>
      </w:r>
    </w:p>
    <w:p w14:paraId="2439BF86" w14:textId="77777777" w:rsidR="001B6C3B" w:rsidRDefault="001B6C3B" w:rsidP="001B6C3B">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pPr>
      <w:r>
        <w:t>При этом Гражданский Кодекс позволяет признавать и другие ограниченные права, предусмотренные законом. Нельзя не упомянуть об источниках данного права. К ним относятся Гражданский Кодекс, Жилищный Кодекс, завещательный отказ, Федеральный закон «О введении в действие Жилищного кодекса РФ».</w:t>
      </w:r>
    </w:p>
    <w:p w14:paraId="56753711" w14:textId="77777777" w:rsidR="001B6C3B" w:rsidRDefault="001B6C3B" w:rsidP="001B6C3B">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pPr>
      <w:r>
        <w:t>Е.А. Суханов классифицировал ограниченные вещные права в зависимости от определенного вида имущества. Он выделил: во-первых, вещные права некоторых юридических лиц на хозяйствование с имуществом собственника; во-вторых, ограниченные вещные права по использованию чужих земельных участков; в-третьих, права ограниченного пользования иным недвижимым имуществом (например, жилыми помещениями); в-четвертых, обеспечивающие надлежащее исполнение обязательств права залога (залогодержателя) и удержания, объектами которых могут являться движимые вещи.</w:t>
      </w:r>
      <w:r>
        <w:rPr>
          <w:rStyle w:val="a7"/>
        </w:rPr>
        <w:t xml:space="preserve"> </w:t>
      </w:r>
      <w:r>
        <w:rPr>
          <w:rStyle w:val="a7"/>
        </w:rPr>
        <w:footnoteReference w:id="303"/>
      </w:r>
    </w:p>
    <w:p w14:paraId="69CE7AA3" w14:textId="77777777" w:rsidR="001B6C3B"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rPr>
      </w:pPr>
      <w:r>
        <w:rPr>
          <w:rFonts w:ascii="Times New Roman" w:hAnsi="Times New Roman" w:cs="Times New Roman"/>
          <w:sz w:val="24"/>
        </w:rPr>
        <w:t xml:space="preserve">Необходимо также отметить, что право пользования, осуществляемое бывшими членами семьи собственника жилого помещения, имевшими право участвовать в приватизации, приобретает характер ограниченного вещного права, установленного законом, а судебная практика лишь подтверждает это. </w:t>
      </w:r>
      <w:r>
        <w:rPr>
          <w:rStyle w:val="a7"/>
          <w:rFonts w:ascii="Times New Roman" w:hAnsi="Times New Roman" w:cs="Times New Roman"/>
          <w:sz w:val="24"/>
        </w:rPr>
        <w:footnoteReference w:id="304"/>
      </w:r>
      <w:r>
        <w:rPr>
          <w:rFonts w:ascii="Times New Roman" w:hAnsi="Times New Roman" w:cs="Times New Roman"/>
          <w:sz w:val="24"/>
        </w:rPr>
        <w:t>К тому же оно обременяет право собственности.</w:t>
      </w:r>
      <w:r>
        <w:rPr>
          <w:rStyle w:val="a7"/>
          <w:rFonts w:ascii="Times New Roman" w:hAnsi="Times New Roman" w:cs="Times New Roman"/>
          <w:sz w:val="24"/>
        </w:rPr>
        <w:footnoteReference w:id="305"/>
      </w:r>
      <w:r>
        <w:rPr>
          <w:rFonts w:ascii="Times New Roman" w:hAnsi="Times New Roman" w:cs="Times New Roman"/>
          <w:sz w:val="24"/>
        </w:rPr>
        <w:t xml:space="preserve"> Помимо общих требований к регистрации вещных прав на объекты недвижимости, действия уполномоченных органов в части регистрации обременений имеют следующие особенности:</w:t>
      </w:r>
    </w:p>
    <w:p w14:paraId="3143BBE6" w14:textId="77777777" w:rsidR="001B6C3B" w:rsidRDefault="001B6C3B" w:rsidP="00E3198A">
      <w:pPr>
        <w:pStyle w:val="a8"/>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rPr>
      </w:pPr>
      <w:r>
        <w:rPr>
          <w:rFonts w:ascii="Times New Roman" w:hAnsi="Times New Roman" w:cs="Times New Roman"/>
          <w:sz w:val="24"/>
        </w:rPr>
        <w:t>Заявление о регистрации обременения подается лицом, в пользу которого оно установлено</w:t>
      </w:r>
    </w:p>
    <w:p w14:paraId="0E8C23A0" w14:textId="77777777" w:rsidR="001B6C3B" w:rsidRDefault="001B6C3B" w:rsidP="00E3198A">
      <w:pPr>
        <w:pStyle w:val="a8"/>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rPr>
      </w:pPr>
      <w:r>
        <w:rPr>
          <w:rFonts w:ascii="Times New Roman" w:hAnsi="Times New Roman" w:cs="Times New Roman"/>
          <w:sz w:val="24"/>
        </w:rPr>
        <w:t>Сведения о регистрации обременений, вносимые в ЕГРП, должны содержать информацию в отношении обеих сторон установленного ограничения</w:t>
      </w:r>
    </w:p>
    <w:p w14:paraId="313F6607" w14:textId="77777777" w:rsidR="001B6C3B" w:rsidRDefault="001B6C3B" w:rsidP="00E3198A">
      <w:pPr>
        <w:pStyle w:val="a8"/>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rPr>
      </w:pPr>
      <w:r>
        <w:rPr>
          <w:rFonts w:ascii="Times New Roman" w:hAnsi="Times New Roman" w:cs="Times New Roman"/>
          <w:sz w:val="24"/>
        </w:rPr>
        <w:t>Регистрация запретов или арестов производится на основании заверенной копии решения уполномоченных органов</w:t>
      </w:r>
    </w:p>
    <w:p w14:paraId="6839D728" w14:textId="77777777" w:rsidR="001B6C3B" w:rsidRDefault="001B6C3B" w:rsidP="00E3198A">
      <w:pPr>
        <w:pStyle w:val="a8"/>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rPr>
      </w:pPr>
      <w:r>
        <w:rPr>
          <w:rFonts w:ascii="Times New Roman" w:hAnsi="Times New Roman" w:cs="Times New Roman"/>
          <w:sz w:val="24"/>
        </w:rPr>
        <w:t>Наличие судебного спора в отношении объекта недвижимости влечет возникновение обременения только в случае вынесения судебного акта о запрете на совершение конкретных действий по распоряжению имуществом</w:t>
      </w:r>
    </w:p>
    <w:p w14:paraId="0E0017B7" w14:textId="77777777" w:rsidR="001B6C3B" w:rsidRDefault="001B6C3B" w:rsidP="00E3198A">
      <w:pPr>
        <w:pStyle w:val="a8"/>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rPr>
      </w:pPr>
      <w:r>
        <w:rPr>
          <w:rFonts w:ascii="Times New Roman" w:hAnsi="Times New Roman" w:cs="Times New Roman"/>
          <w:sz w:val="24"/>
        </w:rPr>
        <w:t>При оформлении регистрации обременения права, регистратор должен убедиться, что условия о таком ограничении действительно предусмотрено условиями договора, нормами акта государственного органа либо судебным решением</w:t>
      </w:r>
    </w:p>
    <w:p w14:paraId="349A7676" w14:textId="77777777" w:rsidR="001B6C3B" w:rsidRDefault="001B6C3B" w:rsidP="00E3198A">
      <w:pPr>
        <w:pStyle w:val="a8"/>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rPr>
      </w:pPr>
      <w:r>
        <w:rPr>
          <w:rFonts w:ascii="Times New Roman" w:hAnsi="Times New Roman" w:cs="Times New Roman"/>
          <w:sz w:val="24"/>
        </w:rPr>
        <w:t>Снятие зарегистрированного обременения возможно только по заявлению лиц, являвшихся субъектами установленного ограничения, а также решения уполномоченного органа о снятии запретов или арестов на имущество.</w:t>
      </w:r>
    </w:p>
    <w:p w14:paraId="1B4D3E39" w14:textId="77777777" w:rsidR="001B6C3B" w:rsidRDefault="001B6C3B" w:rsidP="001B6C3B">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rPr>
      </w:pPr>
      <w:r>
        <w:rPr>
          <w:b/>
          <w:sz w:val="28"/>
        </w:rPr>
        <w:t>Библиографический список</w:t>
      </w:r>
    </w:p>
    <w:p w14:paraId="7D58C993" w14:textId="77777777" w:rsidR="001B6C3B" w:rsidRDefault="001B6C3B" w:rsidP="001B6C3B">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Cs w:val="27"/>
        </w:rPr>
      </w:pPr>
      <w:r>
        <w:rPr>
          <w:szCs w:val="27"/>
        </w:rPr>
        <w:t>1.Ахметьянова З.А. Вещное право: Учебник. — М.: Статут, 2011. 362с.</w:t>
      </w:r>
    </w:p>
    <w:p w14:paraId="523A076F" w14:textId="77777777" w:rsidR="001B6C3B" w:rsidRDefault="001B6C3B" w:rsidP="001B6C3B">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Pr>
          <w:szCs w:val="27"/>
        </w:rPr>
        <w:t xml:space="preserve">2.Баринова Е.А. Вещные права в системе субъективных гражданских прав // Актуальные проблемы гражданского права: Сборник статей. / Под ред. О.Ю. Шилохвоста. М., </w:t>
      </w:r>
      <w:r>
        <w:rPr>
          <w:sz w:val="27"/>
          <w:szCs w:val="27"/>
        </w:rPr>
        <w:t xml:space="preserve">– </w:t>
      </w:r>
      <w:r>
        <w:rPr>
          <w:szCs w:val="27"/>
        </w:rPr>
        <w:t xml:space="preserve">2003. </w:t>
      </w:r>
      <w:r>
        <w:rPr>
          <w:sz w:val="27"/>
          <w:szCs w:val="27"/>
        </w:rPr>
        <w:t xml:space="preserve">– </w:t>
      </w:r>
      <w:r>
        <w:rPr>
          <w:szCs w:val="27"/>
        </w:rPr>
        <w:t xml:space="preserve">№6 </w:t>
      </w:r>
      <w:r>
        <w:rPr>
          <w:sz w:val="27"/>
          <w:szCs w:val="27"/>
        </w:rPr>
        <w:t>–</w:t>
      </w:r>
      <w:r>
        <w:rPr>
          <w:szCs w:val="27"/>
        </w:rPr>
        <w:t xml:space="preserve"> </w:t>
      </w:r>
      <w:r>
        <w:t>С. 165-166.</w:t>
      </w:r>
    </w:p>
    <w:p w14:paraId="173C110E" w14:textId="77777777" w:rsidR="001B6C3B" w:rsidRDefault="001B6C3B" w:rsidP="001B6C3B">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Cs w:val="27"/>
        </w:rPr>
      </w:pPr>
      <w:r>
        <w:rPr>
          <w:szCs w:val="27"/>
        </w:rPr>
        <w:lastRenderedPageBreak/>
        <w:t xml:space="preserve">3. Идрисова Н.Г. О праве бессрочного пользования жилым помещением // Пробелы в российском законодательстве. Юридический журнал // 2015. </w:t>
      </w:r>
    </w:p>
    <w:p w14:paraId="766716DB" w14:textId="77777777" w:rsidR="001B6C3B" w:rsidRDefault="001B6C3B" w:rsidP="001B6C3B">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Cs w:val="27"/>
        </w:rPr>
      </w:pPr>
      <w:r>
        <w:rPr>
          <w:szCs w:val="27"/>
        </w:rPr>
        <w:t>4.Миролюбова О.Г. Актуальные проблемы жилищного права. Семья и жилище.</w:t>
      </w:r>
      <w:r>
        <w:t xml:space="preserve"> — Ярославль : ЯрГУ, 2013 .— 132 с.</w:t>
      </w:r>
    </w:p>
    <w:p w14:paraId="6BE4C86A" w14:textId="77777777" w:rsidR="001B6C3B" w:rsidRDefault="001B6C3B" w:rsidP="001B6C3B">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Cs w:val="27"/>
        </w:rPr>
      </w:pPr>
      <w:r>
        <w:rPr>
          <w:szCs w:val="27"/>
        </w:rPr>
        <w:t>5.Миролюбова О.Г. Право семьи на жилище. Учебное пособие. — М.: Проспект. 2015. 143с.</w:t>
      </w:r>
    </w:p>
    <w:p w14:paraId="42E98A43" w14:textId="77777777" w:rsidR="001B6C3B" w:rsidRDefault="001B6C3B" w:rsidP="001B6C3B">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Cs w:val="27"/>
        </w:rPr>
      </w:pPr>
      <w:r>
        <w:t>6.</w:t>
      </w:r>
      <w:r>
        <w:rPr>
          <w:szCs w:val="27"/>
        </w:rPr>
        <w:t>Суханов Е.А. К понятию вещного права // Правовые вопросы недвижимости. 2005.</w:t>
      </w:r>
      <w:r>
        <w:rPr>
          <w:sz w:val="27"/>
          <w:szCs w:val="27"/>
        </w:rPr>
        <w:t xml:space="preserve"> – </w:t>
      </w:r>
      <w:r>
        <w:rPr>
          <w:szCs w:val="27"/>
        </w:rPr>
        <w:t xml:space="preserve"> №1. </w:t>
      </w:r>
      <w:r>
        <w:rPr>
          <w:sz w:val="27"/>
          <w:szCs w:val="27"/>
        </w:rPr>
        <w:t>–</w:t>
      </w:r>
      <w:r>
        <w:rPr>
          <w:szCs w:val="27"/>
        </w:rPr>
        <w:t xml:space="preserve"> </w:t>
      </w:r>
      <w:r>
        <w:t>С. 5-19.</w:t>
      </w:r>
    </w:p>
    <w:p w14:paraId="1469FAA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sectPr w:rsidR="001B6C3B">
          <w:footnotePr>
            <w:numRestart w:val="eachPage"/>
          </w:footnotePr>
          <w:pgSz w:w="11906" w:h="16838"/>
          <w:pgMar w:top="1134" w:right="1134" w:bottom="1134" w:left="1134" w:header="709" w:footer="709" w:gutter="0"/>
          <w:cols w:space="720"/>
        </w:sectPr>
      </w:pPr>
    </w:p>
    <w:p w14:paraId="40C1384D"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6" w:line="228" w:lineRule="auto"/>
        <w:ind w:left="4820" w:right="116" w:firstLine="27"/>
        <w:jc w:val="both"/>
      </w:pPr>
      <w:r>
        <w:lastRenderedPageBreak/>
        <w:t>УДК 347.965.43</w:t>
      </w:r>
    </w:p>
    <w:p w14:paraId="22F67BA4" w14:textId="77777777" w:rsidR="007D574D" w:rsidRPr="007D574D"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6" w:line="228" w:lineRule="auto"/>
        <w:ind w:left="4820" w:right="116" w:firstLine="27"/>
        <w:jc w:val="both"/>
        <w:rPr>
          <w:b/>
        </w:rPr>
      </w:pPr>
      <w:r w:rsidRPr="007D574D">
        <w:rPr>
          <w:b/>
        </w:rPr>
        <w:t xml:space="preserve">Рожкова Татьяна Сергеевна </w:t>
      </w:r>
    </w:p>
    <w:p w14:paraId="0B7D277F" w14:textId="77777777" w:rsidR="007D574D"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6" w:line="228" w:lineRule="auto"/>
        <w:ind w:left="4820" w:right="116" w:firstLine="27"/>
        <w:jc w:val="both"/>
      </w:pPr>
      <w:r>
        <w:rPr>
          <w:lang w:val="en-US"/>
        </w:rPr>
        <w:t>Rozhkova</w:t>
      </w:r>
      <w:r w:rsidRPr="00430C1C">
        <w:t xml:space="preserve"> </w:t>
      </w:r>
      <w:r>
        <w:rPr>
          <w:lang w:val="en-US"/>
        </w:rPr>
        <w:t>Tatiana</w:t>
      </w:r>
      <w:r w:rsidRPr="00430C1C">
        <w:t xml:space="preserve"> </w:t>
      </w:r>
      <w:r>
        <w:rPr>
          <w:lang w:val="en-US"/>
        </w:rPr>
        <w:t>Sergeevna</w:t>
      </w:r>
      <w:r>
        <w:t xml:space="preserve"> </w:t>
      </w:r>
    </w:p>
    <w:p w14:paraId="235E4D6E" w14:textId="1657A98E"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6" w:line="228" w:lineRule="auto"/>
        <w:ind w:left="4820" w:right="116" w:firstLine="27"/>
        <w:jc w:val="both"/>
      </w:pPr>
      <w:r>
        <w:t>бакалавр,</w:t>
      </w:r>
      <w:r w:rsidR="007D574D">
        <w:t xml:space="preserve"> </w:t>
      </w:r>
      <w:r>
        <w:t>Федеральное государственное бюджетное образовательное учреждение высшего образования</w:t>
      </w:r>
      <w:r w:rsidR="007D574D">
        <w:t xml:space="preserve"> </w:t>
      </w:r>
      <w:r>
        <w:t>«Кубанский̆ государственный аграрный университет</w:t>
      </w:r>
    </w:p>
    <w:p w14:paraId="73CD35FF" w14:textId="77777777" w:rsidR="001B6C3B" w:rsidRPr="009B4981"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6" w:line="228" w:lineRule="auto"/>
        <w:ind w:left="4820" w:right="116" w:firstLine="27"/>
        <w:jc w:val="both"/>
        <w:rPr>
          <w:lang w:val="en-US"/>
        </w:rPr>
      </w:pPr>
      <w:r>
        <w:t>имени</w:t>
      </w:r>
      <w:r w:rsidRPr="009B4981">
        <w:rPr>
          <w:lang w:val="en-US"/>
        </w:rPr>
        <w:t xml:space="preserve"> </w:t>
      </w:r>
      <w:r>
        <w:t>И</w:t>
      </w:r>
      <w:r w:rsidRPr="009B4981">
        <w:rPr>
          <w:lang w:val="en-US"/>
        </w:rPr>
        <w:t>.</w:t>
      </w:r>
      <w:r>
        <w:t>Т</w:t>
      </w:r>
      <w:r w:rsidRPr="009B4981">
        <w:rPr>
          <w:lang w:val="en-US"/>
        </w:rPr>
        <w:t xml:space="preserve">. </w:t>
      </w:r>
      <w:r>
        <w:t>Трубилина</w:t>
      </w:r>
      <w:r w:rsidRPr="009B4981">
        <w:rPr>
          <w:lang w:val="en-US"/>
        </w:rPr>
        <w:t xml:space="preserve">» </w:t>
      </w:r>
      <w:r>
        <w:rPr>
          <w:lang w:val="en-US"/>
        </w:rPr>
        <w:t>Federal</w:t>
      </w:r>
      <w:r w:rsidRPr="009B4981">
        <w:rPr>
          <w:lang w:val="en-US"/>
        </w:rPr>
        <w:t xml:space="preserve"> </w:t>
      </w:r>
      <w:r>
        <w:rPr>
          <w:lang w:val="en-US"/>
        </w:rPr>
        <w:t>State</w:t>
      </w:r>
      <w:r w:rsidRPr="009B4981">
        <w:rPr>
          <w:lang w:val="en-US"/>
        </w:rPr>
        <w:t xml:space="preserve"> </w:t>
      </w:r>
      <w:r>
        <w:rPr>
          <w:lang w:val="en-US"/>
        </w:rPr>
        <w:t>Budgetary</w:t>
      </w:r>
    </w:p>
    <w:p w14:paraId="229D6AF4"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6" w:line="228" w:lineRule="auto"/>
        <w:ind w:left="4820" w:right="116" w:firstLine="27"/>
        <w:jc w:val="both"/>
        <w:rPr>
          <w:lang w:val="en-US"/>
        </w:rPr>
      </w:pPr>
      <w:r>
        <w:rPr>
          <w:lang w:val="en-US"/>
        </w:rPr>
        <w:t>Educational Institution of Higher Education</w:t>
      </w:r>
    </w:p>
    <w:p w14:paraId="0C1CDB1A"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6" w:line="228" w:lineRule="auto"/>
        <w:ind w:left="4820" w:right="116" w:firstLine="27"/>
        <w:jc w:val="both"/>
        <w:rPr>
          <w:lang w:val="en-US"/>
        </w:rPr>
      </w:pPr>
      <w:r>
        <w:rPr>
          <w:lang w:val="en-US"/>
        </w:rPr>
        <w:t>«Kuban State Agrarian University named after I.T. Trubilin</w:t>
      </w:r>
    </w:p>
    <w:p w14:paraId="4A0E1A5C"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6" w:line="228" w:lineRule="auto"/>
        <w:ind w:left="4820" w:right="116" w:firstLine="27"/>
        <w:jc w:val="both"/>
      </w:pPr>
      <w:r>
        <w:t xml:space="preserve">Российская Федерация, г. Краснодар </w:t>
      </w:r>
      <w:r>
        <w:rPr>
          <w:lang w:val="en-US"/>
        </w:rPr>
        <w:t>Russian</w:t>
      </w:r>
      <w:r w:rsidRPr="00430C1C">
        <w:t xml:space="preserve"> </w:t>
      </w:r>
      <w:r>
        <w:rPr>
          <w:lang w:val="en-US"/>
        </w:rPr>
        <w:t>Federation</w:t>
      </w:r>
      <w:r>
        <w:t xml:space="preserve">, </w:t>
      </w:r>
      <w:r>
        <w:rPr>
          <w:lang w:val="en-US"/>
        </w:rPr>
        <w:t>Krasnodar</w:t>
      </w:r>
    </w:p>
    <w:p w14:paraId="3DA2F8AB" w14:textId="77777777" w:rsidR="007D574D" w:rsidRDefault="00EE7838"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6" w:line="228" w:lineRule="auto"/>
        <w:ind w:left="4820" w:right="116" w:firstLine="27"/>
        <w:jc w:val="both"/>
      </w:pPr>
      <w:hyperlink r:id="rId36" w:history="1">
        <w:r w:rsidR="001B6C3B">
          <w:rPr>
            <w:rStyle w:val="a9"/>
            <w:lang w:val="en-US"/>
          </w:rPr>
          <w:t>ms</w:t>
        </w:r>
        <w:r w:rsidR="001B6C3B">
          <w:rPr>
            <w:rStyle w:val="a9"/>
          </w:rPr>
          <w:t>.</w:t>
        </w:r>
        <w:r w:rsidR="001B6C3B">
          <w:rPr>
            <w:rStyle w:val="a9"/>
            <w:lang w:val="en-US"/>
          </w:rPr>
          <w:t>fencing</w:t>
        </w:r>
        <w:r w:rsidR="001B6C3B">
          <w:rPr>
            <w:rStyle w:val="a9"/>
          </w:rPr>
          <w:t>@</w:t>
        </w:r>
        <w:r w:rsidR="001B6C3B">
          <w:rPr>
            <w:rStyle w:val="a9"/>
            <w:lang w:val="en-US"/>
          </w:rPr>
          <w:t>mail</w:t>
        </w:r>
        <w:r w:rsidR="001B6C3B">
          <w:rPr>
            <w:rStyle w:val="a9"/>
          </w:rPr>
          <w:t>.</w:t>
        </w:r>
        <w:r w:rsidR="001B6C3B">
          <w:rPr>
            <w:rStyle w:val="a9"/>
            <w:lang w:val="en-US"/>
          </w:rPr>
          <w:t>ru</w:t>
        </w:r>
      </w:hyperlink>
      <w:r w:rsidR="001B6C3B">
        <w:t xml:space="preserve"> </w:t>
      </w:r>
    </w:p>
    <w:p w14:paraId="1A1611D1" w14:textId="72E6CA7F" w:rsidR="001B6C3B" w:rsidRDefault="007D574D"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6" w:line="228" w:lineRule="auto"/>
        <w:ind w:left="4820" w:right="116" w:firstLine="27"/>
        <w:jc w:val="both"/>
      </w:pPr>
      <w:r>
        <w:t xml:space="preserve">Научный руководитель: </w:t>
      </w:r>
      <w:r w:rsidR="001B6C3B">
        <w:t>Кончаков Александр</w:t>
      </w:r>
      <w:r w:rsidR="001B6C3B">
        <w:rPr>
          <w:spacing w:val="-10"/>
        </w:rPr>
        <w:t xml:space="preserve"> </w:t>
      </w:r>
      <w:r w:rsidR="001B6C3B">
        <w:t>Борисович</w:t>
      </w:r>
    </w:p>
    <w:p w14:paraId="2FE2EC93" w14:textId="77777777" w:rsidR="001B6C3B" w:rsidRDefault="001B6C3B" w:rsidP="0051775D">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6" w:line="228" w:lineRule="auto"/>
        <w:ind w:right="116"/>
        <w:jc w:val="both"/>
      </w:pPr>
    </w:p>
    <w:p w14:paraId="2F9A9214"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6" w:line="228" w:lineRule="auto"/>
        <w:ind w:left="4820" w:right="116" w:firstLine="27"/>
        <w:jc w:val="both"/>
      </w:pPr>
    </w:p>
    <w:p w14:paraId="57E2D87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8" w:lineRule="auto"/>
        <w:ind w:left="1322" w:right="617"/>
        <w:jc w:val="center"/>
        <w:rPr>
          <w:rFonts w:ascii="Times New Roman" w:hAnsi="Times New Roman" w:cs="Times New Roman"/>
          <w:b/>
          <w:sz w:val="24"/>
          <w:lang w:val="en-US"/>
        </w:rPr>
      </w:pPr>
      <w:r>
        <w:rPr>
          <w:rFonts w:ascii="Times New Roman" w:hAnsi="Times New Roman" w:cs="Times New Roman"/>
          <w:b/>
          <w:sz w:val="24"/>
        </w:rPr>
        <w:t>О</w:t>
      </w:r>
      <w:r>
        <w:rPr>
          <w:rFonts w:ascii="Times New Roman" w:hAnsi="Times New Roman" w:cs="Times New Roman"/>
          <w:b/>
          <w:sz w:val="24"/>
          <w:lang w:val="en-US"/>
        </w:rPr>
        <w:t xml:space="preserve"> </w:t>
      </w:r>
      <w:r>
        <w:rPr>
          <w:rFonts w:ascii="Times New Roman" w:hAnsi="Times New Roman" w:cs="Times New Roman"/>
          <w:b/>
          <w:sz w:val="24"/>
        </w:rPr>
        <w:t>ТЕНДЕНЦИЯХ</w:t>
      </w:r>
      <w:r>
        <w:rPr>
          <w:rFonts w:ascii="Times New Roman" w:hAnsi="Times New Roman" w:cs="Times New Roman"/>
          <w:b/>
          <w:sz w:val="24"/>
          <w:lang w:val="en-US"/>
        </w:rPr>
        <w:t xml:space="preserve"> </w:t>
      </w:r>
      <w:r>
        <w:rPr>
          <w:rFonts w:ascii="Times New Roman" w:hAnsi="Times New Roman" w:cs="Times New Roman"/>
          <w:b/>
          <w:sz w:val="24"/>
        </w:rPr>
        <w:t>РАЗВИТИЯ</w:t>
      </w:r>
      <w:r>
        <w:rPr>
          <w:rFonts w:ascii="Times New Roman" w:hAnsi="Times New Roman" w:cs="Times New Roman"/>
          <w:b/>
          <w:sz w:val="24"/>
          <w:lang w:val="en-US"/>
        </w:rPr>
        <w:t xml:space="preserve"> </w:t>
      </w:r>
      <w:r>
        <w:rPr>
          <w:rFonts w:ascii="Times New Roman" w:hAnsi="Times New Roman" w:cs="Times New Roman"/>
          <w:b/>
          <w:sz w:val="24"/>
        </w:rPr>
        <w:t>ИНСТИТУТА</w:t>
      </w:r>
      <w:r>
        <w:rPr>
          <w:rFonts w:ascii="Times New Roman" w:hAnsi="Times New Roman" w:cs="Times New Roman"/>
          <w:b/>
          <w:sz w:val="24"/>
          <w:lang w:val="en-US"/>
        </w:rPr>
        <w:t xml:space="preserve"> </w:t>
      </w:r>
      <w:r>
        <w:rPr>
          <w:rFonts w:ascii="Times New Roman" w:hAnsi="Times New Roman" w:cs="Times New Roman"/>
          <w:b/>
          <w:sz w:val="24"/>
        </w:rPr>
        <w:t>ПРЕДСТАВИТЕЛЬСТВА</w:t>
      </w:r>
    </w:p>
    <w:p w14:paraId="349726D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8" w:lineRule="auto"/>
        <w:ind w:left="1322" w:right="617"/>
        <w:jc w:val="center"/>
        <w:rPr>
          <w:rFonts w:ascii="Times New Roman" w:hAnsi="Times New Roman" w:cs="Times New Roman"/>
          <w:b/>
          <w:sz w:val="24"/>
          <w:lang w:val="en-US"/>
        </w:rPr>
      </w:pPr>
    </w:p>
    <w:p w14:paraId="25BA0F9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8" w:lineRule="auto"/>
        <w:ind w:left="1322" w:right="617"/>
        <w:jc w:val="center"/>
        <w:rPr>
          <w:rFonts w:ascii="Times New Roman" w:hAnsi="Times New Roman" w:cs="Times New Roman"/>
          <w:b/>
          <w:sz w:val="24"/>
          <w:lang w:val="en-US"/>
        </w:rPr>
      </w:pPr>
      <w:r>
        <w:rPr>
          <w:rFonts w:ascii="Times New Roman" w:hAnsi="Times New Roman" w:cs="Times New Roman"/>
          <w:b/>
          <w:sz w:val="24"/>
          <w:lang w:val="en-US"/>
        </w:rPr>
        <w:t>ABOUT THE DEVELOPMENT TRENDS OF THE REPRESENTATIVE INSTITUTE</w:t>
      </w:r>
    </w:p>
    <w:p w14:paraId="6DF54655"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6"/>
        <w:rPr>
          <w:b/>
          <w:sz w:val="23"/>
          <w:lang w:val="en-US"/>
        </w:rPr>
      </w:pPr>
    </w:p>
    <w:p w14:paraId="75981E57"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8" w:lineRule="auto"/>
        <w:ind w:left="115" w:right="112" w:firstLine="710"/>
        <w:jc w:val="both"/>
      </w:pPr>
      <w:r>
        <w:t>Аннотация: В статье рассмотрен институт представительства. Проведен исторический и сравнительно-правовой анализ норм российского гражданского права, гражданского и арбитражного процессов, а также некоторых положений зарубежных нормативных актов и правовой доктрины о представительстве. Уделяется внимание законопроектам, внесенным в Государственную Думу Федерального Собрания РФ осенью 2017 года, касающихся института судебного представительства. В последствии обозреваемые законопроекты легли в основу процессуальной реформы 2019 года. Изучены требования к представителю в гражданском и арбитражном процессе. Сделаны</w:t>
      </w:r>
      <w:r>
        <w:rPr>
          <w:spacing w:val="-2"/>
        </w:rPr>
        <w:t xml:space="preserve"> </w:t>
      </w:r>
      <w:r>
        <w:t>выводы.</w:t>
      </w:r>
    </w:p>
    <w:p w14:paraId="67D0EC5C"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6" w:line="228" w:lineRule="auto"/>
        <w:ind w:left="115" w:right="116" w:firstLine="710"/>
        <w:jc w:val="both"/>
      </w:pPr>
    </w:p>
    <w:p w14:paraId="55086FE5"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6" w:line="228" w:lineRule="auto"/>
        <w:ind w:left="115" w:right="116" w:firstLine="710"/>
        <w:jc w:val="both"/>
      </w:pPr>
      <w:r>
        <w:rPr>
          <w:lang w:val="en-US"/>
        </w:rPr>
        <w:t>Abstract: The article considers the institution of representation. A historical and comparative legal analysis of the norms of Russian civil law, civil and arbitration processes, as well as some provisions of foreign normative acts and the legal doctrine of representation is carried out.</w:t>
      </w:r>
      <w:r>
        <w:rPr>
          <w:spacing w:val="-30"/>
          <w:lang w:val="en-US"/>
        </w:rPr>
        <w:t xml:space="preserve"> </w:t>
      </w:r>
      <w:r>
        <w:rPr>
          <w:lang w:val="en-US"/>
        </w:rPr>
        <w:t xml:space="preserve">Attention is paid to bills submitted to the State Duma of the Federal Assembly of the Russian Federation in the fall of 2017 regarding the institution of judicial representation. Subsequently, the reviewed bills formed the basis of the 2019 procedural reform. Studied the requirements for a representative in civil and arbitration proceedings. </w:t>
      </w:r>
      <w:r>
        <w:t>The conclusions are</w:t>
      </w:r>
      <w:r>
        <w:rPr>
          <w:spacing w:val="1"/>
        </w:rPr>
        <w:t xml:space="preserve"> </w:t>
      </w:r>
      <w:r>
        <w:t>drawn.</w:t>
      </w:r>
    </w:p>
    <w:p w14:paraId="3FB9824D"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6"/>
        <w:rPr>
          <w:sz w:val="23"/>
        </w:rPr>
      </w:pPr>
    </w:p>
    <w:p w14:paraId="4AC8A335"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8" w:lineRule="auto"/>
        <w:ind w:left="115" w:right="118" w:firstLine="710"/>
        <w:jc w:val="both"/>
      </w:pPr>
      <w:r>
        <w:t>Ключевые слова: представитель, доверенность, доверитель, суд, гражданский процесс, арбитражный процесс, профессиональный ценз, судебная реформа, адвокат, кандидат наук, доктор наук,</w:t>
      </w:r>
      <w:r>
        <w:rPr>
          <w:spacing w:val="3"/>
        </w:rPr>
        <w:t xml:space="preserve"> </w:t>
      </w:r>
      <w:r>
        <w:t>юрист.</w:t>
      </w:r>
    </w:p>
    <w:p w14:paraId="0E29FCED"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6" w:line="228" w:lineRule="auto"/>
        <w:ind w:left="115" w:right="121" w:firstLine="710"/>
        <w:jc w:val="both"/>
        <w:rPr>
          <w:lang w:val="en-US"/>
        </w:rPr>
      </w:pPr>
      <w:r>
        <w:rPr>
          <w:lang w:val="en-US"/>
        </w:rPr>
        <w:t>Keywords: representative, power of attorney, principal, court, civil procedure, arbitration process, professional qualification, judicial reform, lawyer, candidate of sciences, doctor of sciences,</w:t>
      </w:r>
      <w:r>
        <w:rPr>
          <w:spacing w:val="-1"/>
          <w:lang w:val="en-US"/>
        </w:rPr>
        <w:t xml:space="preserve"> </w:t>
      </w:r>
      <w:r>
        <w:rPr>
          <w:lang w:val="en-US"/>
        </w:rPr>
        <w:t>lawyer.</w:t>
      </w:r>
    </w:p>
    <w:p w14:paraId="7BD8CD50"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
        <w:rPr>
          <w:sz w:val="23"/>
          <w:lang w:val="en-US"/>
        </w:rPr>
      </w:pPr>
    </w:p>
    <w:p w14:paraId="47495F43"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8" w:lineRule="auto"/>
        <w:ind w:left="115" w:right="103" w:firstLine="710"/>
        <w:jc w:val="both"/>
      </w:pPr>
      <w:r>
        <w:t>Судебная реформа 2019 года, привнесшая в систему российских судов новые кассационные и апелляционные суды общей юрисдикции, также затронула некоторые положения, касающиеся представителей сторон в гражданском и арбитражном процессах и института договорного представительства в целом. Новеллы законодательства привнесли ясность в разгорающуюся полемику внутри юридической среды по поводу необходимости внесения каких-либо цензов, предъявляемых к судебному представителю, в том числе профессионального.</w:t>
      </w:r>
    </w:p>
    <w:p w14:paraId="64D86813"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5" w:line="228" w:lineRule="auto"/>
        <w:ind w:left="115" w:right="107" w:firstLine="710"/>
        <w:jc w:val="both"/>
      </w:pPr>
      <w:r>
        <w:lastRenderedPageBreak/>
        <w:t>Реформа была инициирована Верховным Судом РФ, который воспользовался правом законодательной инициативы и внес в Государственную Думу Федерального Собрания законопроект, содержащий рассматриваемые нами изменения. Однако, не все предложения законопроекта были полностью отражены в принятом законе «О внесении изменений в отдельные законодательные акты Российской Федерации» № 451-ФЗ.</w:t>
      </w:r>
    </w:p>
    <w:p w14:paraId="5D1D9FD4"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6" w:line="228" w:lineRule="auto"/>
        <w:ind w:left="115" w:right="111" w:firstLine="710"/>
        <w:jc w:val="both"/>
      </w:pPr>
      <w:r>
        <w:t>Так, например, профессиональный ценз стал применяться к представителям в Арбитражных Судах, а также в судах общей юрисдикции, кроме производства у мировых судей и в районных судах.</w:t>
      </w:r>
    </w:p>
    <w:p w14:paraId="54897CAE"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8" w:lineRule="auto"/>
        <w:ind w:left="115" w:right="107" w:firstLine="710"/>
        <w:jc w:val="both"/>
      </w:pPr>
      <w:r>
        <w:t>Эти нововведения представляют особый интерес как для ученых-цивилистов, так и для процессуалистов. В нашей научной работе мы хотим проанализировать и дать правовую оценку значимости нововведений в институт</w:t>
      </w:r>
      <w:r>
        <w:rPr>
          <w:spacing w:val="-5"/>
        </w:rPr>
        <w:t xml:space="preserve"> </w:t>
      </w:r>
      <w:r>
        <w:t>представительства.</w:t>
      </w:r>
    </w:p>
    <w:p w14:paraId="3980F1EF"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6" w:line="228" w:lineRule="auto"/>
        <w:ind w:left="115" w:right="108" w:firstLine="710"/>
        <w:jc w:val="both"/>
      </w:pPr>
      <w:r>
        <w:t>Несмотря на то, что институт судебного представительства присутствует в федеральных нормативных правовых актах уже не первый десяток лет, до сих пор не дано его легальное определение. Это служит плацдармом для исследований</w:t>
      </w:r>
      <w:r>
        <w:rPr>
          <w:spacing w:val="-12"/>
        </w:rPr>
        <w:t xml:space="preserve"> </w:t>
      </w:r>
      <w:r>
        <w:t>ученых-юристов.</w:t>
      </w:r>
    </w:p>
    <w:p w14:paraId="22CE25AF"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8" w:lineRule="auto"/>
        <w:ind w:left="115" w:right="110" w:firstLine="710"/>
        <w:jc w:val="both"/>
      </w:pPr>
      <w:r>
        <w:t>Авдюков толкует понятие судебного представительства основываясь на круге лиц, участвующих в таких правоотношениях и их деятельности, следующим образом: судебное представительство – есть «выполнение от имени и в интересах сторон или третьих лиц процессуальных действий уполномоченным лицом»</w:t>
      </w:r>
      <w:r>
        <w:rPr>
          <w:vertAlign w:val="superscript"/>
        </w:rPr>
        <w:t>1</w:t>
      </w:r>
      <w:r>
        <w:t>.</w:t>
      </w:r>
    </w:p>
    <w:p w14:paraId="59886577"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6" w:line="228" w:lineRule="auto"/>
        <w:ind w:left="115" w:right="106" w:firstLine="710"/>
        <w:jc w:val="both"/>
      </w:pPr>
      <w:r>
        <w:t>Другую точку зрения в своих трудах отразил А.А. Мельников, обозначив представительство как урегулированные процессуальным законом права лиц, участвующих в деле, на поручение ведение дела и осуществление своих процессуальных прав и обязанностей компетентным на то</w:t>
      </w:r>
      <w:r>
        <w:rPr>
          <w:spacing w:val="-4"/>
        </w:rPr>
        <w:t xml:space="preserve"> </w:t>
      </w:r>
      <w:r>
        <w:t>лицам.</w:t>
      </w:r>
      <w:r>
        <w:rPr>
          <w:vertAlign w:val="superscript"/>
        </w:rPr>
        <w:t>2</w:t>
      </w:r>
    </w:p>
    <w:p w14:paraId="60A97D97"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8" w:lineRule="auto"/>
        <w:ind w:left="115" w:right="113" w:firstLine="710"/>
        <w:jc w:val="both"/>
      </w:pPr>
      <w:r>
        <w:t>Эти и другие доктринальные толкования института представительства сходятся в том, что судебное представительство связано с уполномочиванием представителя стороной процесса или третьим лицом на ведение дела в суде от имени представляемого. Вместе с тем, следует отметить, что институт судебного представительства в современном российском праве неразрывно связан с договорным представительством (глава 10 ГК РФ). Исходя из этого, можно отметить, что правовая природа представительства носит межотраслевой характер и является комплексной сферой. Поэтому всестороннее научное изучение этого института имеет как практическую, так и научную ценность.</w:t>
      </w:r>
    </w:p>
    <w:p w14:paraId="6143F141"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6" w:line="228" w:lineRule="auto"/>
        <w:ind w:left="115" w:right="108" w:firstLine="710"/>
        <w:jc w:val="both"/>
      </w:pPr>
      <w:r>
        <w:t>До нормативного закрепления профессионального ценза для судебного представителя его функции могло осуществлять любое дееспособное физическое лицо. В научной среде это вызывало недоумение, так как статья 48 Конституции РФ гарантирует право каждого на квалифицированную юридическую помощь (что невозможно без профессионального ценза). В данном случае «квалификация» обозначает качественную характеристику субъекта, оказывающего эту юридическую помощь, что должно быть подтверждено соответствующими документами: об образовании, о наличии ученой</w:t>
      </w:r>
      <w:r>
        <w:rPr>
          <w:spacing w:val="-5"/>
        </w:rPr>
        <w:t xml:space="preserve"> </w:t>
      </w:r>
      <w:r>
        <w:t>степени.</w:t>
      </w:r>
      <w:r>
        <w:rPr>
          <w:vertAlign w:val="superscript"/>
        </w:rPr>
        <w:t>3</w:t>
      </w:r>
    </w:p>
    <w:p w14:paraId="068B3DEF"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1" w:line="228" w:lineRule="auto"/>
        <w:ind w:left="115" w:right="107" w:firstLine="710"/>
        <w:jc w:val="both"/>
      </w:pPr>
      <w:r>
        <w:t>Становление профессионального ценза в цивилистическом процессе начало прослеживаться с момента принятия в 2002 нового Арбитражного процессуального кодекса. Часть 5 статьи 59 закона говорила о требованиях к представителям организаций, коими могли являться их руководители, штатные сотрудники, либо адвокаты. Аналогичные требования предъявлялись к представителям органов государственной и муниципальной власти. В то время был введен термин «адвокатская</w:t>
      </w:r>
      <w:r>
        <w:rPr>
          <w:spacing w:val="-2"/>
        </w:rPr>
        <w:t xml:space="preserve"> </w:t>
      </w:r>
      <w:r>
        <w:t>монополия».</w:t>
      </w:r>
    </w:p>
    <w:p w14:paraId="26D39BD8"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6" w:line="228" w:lineRule="auto"/>
        <w:ind w:left="115" w:right="110" w:firstLine="710"/>
        <w:jc w:val="both"/>
      </w:pPr>
      <w:r>
        <w:t>В силу того, что такое правило распространялось только на представителей юридических лиц и органов власти, обделяя вниманием физические лица, данная норма стала предметом рассмотрения на заседании Конституционного Суда. Постановлением от 16.07.2004 № 15-П ч. 5 ст. 59 АПК была признана неконституционной. Аргументация такого решения заключалась в непредъявлении законодателем требований к качеству оказываемой юридической помощи, а значит, не в праве обязывать организации пользоваться</w:t>
      </w:r>
      <w:r>
        <w:rPr>
          <w:spacing w:val="28"/>
        </w:rPr>
        <w:t xml:space="preserve"> </w:t>
      </w:r>
      <w:r>
        <w:t>услугами</w:t>
      </w:r>
    </w:p>
    <w:p w14:paraId="085616CF" w14:textId="6397C05D"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6"/>
      </w:pPr>
      <w:r>
        <w:rPr>
          <w:noProof/>
          <w:lang w:bidi="ar-SA"/>
        </w:rPr>
        <mc:AlternateContent>
          <mc:Choice Requires="wps">
            <w:drawing>
              <wp:anchor distT="0" distB="0" distL="0" distR="0" simplePos="0" relativeHeight="251659264" behindDoc="1" locked="0" layoutInCell="1" allowOverlap="1" wp14:anchorId="002E0FA5" wp14:editId="4E77C39A">
                <wp:simplePos x="0" y="0"/>
                <wp:positionH relativeFrom="page">
                  <wp:posOffset>721360</wp:posOffset>
                </wp:positionH>
                <wp:positionV relativeFrom="paragraph">
                  <wp:posOffset>203835</wp:posOffset>
                </wp:positionV>
                <wp:extent cx="1829435" cy="9525"/>
                <wp:effectExtent l="0" t="0" r="0" b="0"/>
                <wp:wrapTopAndBottom/>
                <wp:docPr id="3" name="Прямоугольник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9435" cy="952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ex="http://schemas.microsoft.com/office/word/2018/wordml/cex">
            <w:pict>
              <v:rect w14:anchorId="1CD06170" id="Прямоугольник 3" o:spid="_x0000_s1026" style="position:absolute;margin-left:56.8pt;margin-top:16.05pt;width:144.05pt;height:.75pt;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" fillcolor="black" stroked="f">
                <w10:wrap type="topAndBottom" anchorx="page"/>
              </v:rect>
            </w:pict>
          </mc:Fallback>
        </mc:AlternateContent>
      </w:r>
    </w:p>
    <w:p w14:paraId="69B5C6D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69" w:line="225" w:lineRule="exact"/>
        <w:ind w:left="115"/>
        <w:rPr>
          <w:rFonts w:ascii="Times New Roman" w:hAnsi="Times New Roman" w:cs="Times New Roman"/>
          <w:sz w:val="20"/>
        </w:rPr>
      </w:pPr>
      <w:r>
        <w:rPr>
          <w:rFonts w:ascii="Times New Roman" w:hAnsi="Times New Roman" w:cs="Times New Roman"/>
          <w:position w:val="6"/>
          <w:sz w:val="13"/>
        </w:rPr>
        <w:t xml:space="preserve">1 </w:t>
      </w:r>
      <w:r>
        <w:rPr>
          <w:rFonts w:ascii="Times New Roman" w:hAnsi="Times New Roman" w:cs="Times New Roman"/>
          <w:sz w:val="20"/>
        </w:rPr>
        <w:t>Гражданский процесс / под ред. М.Г. Авдюкова. - М., 1970. - С. 44.</w:t>
      </w:r>
    </w:p>
    <w:p w14:paraId="7D9AC09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3" w:line="228" w:lineRule="auto"/>
        <w:ind w:left="115" w:right="121"/>
        <w:rPr>
          <w:rFonts w:ascii="Times New Roman" w:hAnsi="Times New Roman" w:cs="Times New Roman"/>
          <w:sz w:val="20"/>
        </w:rPr>
      </w:pPr>
      <w:r>
        <w:rPr>
          <w:rFonts w:ascii="Times New Roman" w:hAnsi="Times New Roman" w:cs="Times New Roman"/>
          <w:position w:val="6"/>
          <w:sz w:val="13"/>
        </w:rPr>
        <w:t xml:space="preserve">2 </w:t>
      </w:r>
      <w:r>
        <w:rPr>
          <w:rFonts w:ascii="Times New Roman" w:hAnsi="Times New Roman" w:cs="Times New Roman"/>
          <w:sz w:val="20"/>
        </w:rPr>
        <w:t>Мельников АА. Понятие представительства в гражданском процессе // Курс советского процессуального права: в 2 т. / редкол. АА. Мельников, Т.Е. Абова, П.П. Гуреев [и др.]. - М.: Наука, 1981. - Т. 1. -С. 299.</w:t>
      </w:r>
    </w:p>
    <w:p w14:paraId="34DB0C1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3" w:line="228" w:lineRule="auto"/>
        <w:ind w:left="115"/>
        <w:rPr>
          <w:rFonts w:ascii="Times New Roman" w:hAnsi="Times New Roman" w:cs="Times New Roman"/>
          <w:sz w:val="20"/>
        </w:rPr>
      </w:pPr>
      <w:r>
        <w:rPr>
          <w:rFonts w:ascii="Times New Roman" w:hAnsi="Times New Roman" w:cs="Times New Roman"/>
          <w:position w:val="6"/>
          <w:sz w:val="13"/>
        </w:rPr>
        <w:t xml:space="preserve">3 </w:t>
      </w:r>
      <w:r>
        <w:rPr>
          <w:rFonts w:ascii="Times New Roman" w:hAnsi="Times New Roman" w:cs="Times New Roman"/>
          <w:sz w:val="20"/>
        </w:rPr>
        <w:t>Панченко В.Ю., Шайхутдинов Е.М. Профессиональное юридическое представительство в гражданском и арбитражном процессе // Современное право. - 2013. - № 4. - С. 103.</w:t>
      </w:r>
    </w:p>
    <w:p w14:paraId="526BA0D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28" w:lineRule="auto"/>
        <w:rPr>
          <w:rFonts w:ascii="Times New Roman" w:hAnsi="Times New Roman" w:cs="Times New Roman"/>
          <w:sz w:val="20"/>
        </w:rPr>
        <w:sectPr w:rsidR="001B6C3B">
          <w:pgSz w:w="11900" w:h="16840"/>
          <w:pgMar w:top="1060" w:right="1020" w:bottom="280" w:left="1020" w:header="720" w:footer="720" w:gutter="0"/>
          <w:cols w:space="720"/>
        </w:sectPr>
      </w:pPr>
    </w:p>
    <w:p w14:paraId="0606A484"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5" w:line="228" w:lineRule="auto"/>
        <w:ind w:left="115" w:right="121"/>
        <w:jc w:val="both"/>
      </w:pPr>
      <w:r>
        <w:lastRenderedPageBreak/>
        <w:t>профессионального юриста для представительства в арбитражном суде. Таким образом, до реформы 2019 года, единственное требование к судебному представителю было наличие у него дееспособности, что, безусловно, понижало эффективность защиты.</w:t>
      </w:r>
    </w:p>
    <w:p w14:paraId="47E1FCD9"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0" w:lineRule="auto"/>
        <w:ind w:left="115" w:right="112" w:firstLine="710"/>
        <w:jc w:val="both"/>
      </w:pPr>
      <w:r>
        <w:t>Тенденции на внедрение профессионального ценза прослеживались в разное время, но особенно ярко они были выражены в 2014 году, когда Правительство РФ обнародовало планы по развитию государственной программы «Юстиция». Согласно выраженной позиции, с течением времени удастся прийти к единому адвокатскому статусу для всех лиц, оказывающих юридические</w:t>
      </w:r>
      <w:r>
        <w:rPr>
          <w:spacing w:val="-3"/>
        </w:rPr>
        <w:t xml:space="preserve"> </w:t>
      </w:r>
      <w:r>
        <w:t>услуги.</w:t>
      </w:r>
      <w:r>
        <w:rPr>
          <w:vertAlign w:val="superscript"/>
        </w:rPr>
        <w:t>4</w:t>
      </w:r>
    </w:p>
    <w:p w14:paraId="43ADE0B5"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8" w:lineRule="auto"/>
        <w:ind w:left="115" w:right="111" w:firstLine="710"/>
        <w:jc w:val="both"/>
      </w:pPr>
      <w:r>
        <w:t>Идея введения адвокатской монополии не нова и вовсе не уникальна. Строгие требования к представителям предъявляются в странах как англо-саксонской (Великобритания), так и романо-германской правовой системы (Германия, Япония).</w:t>
      </w:r>
      <w:r>
        <w:rPr>
          <w:vertAlign w:val="superscript"/>
        </w:rPr>
        <w:t>5</w:t>
      </w:r>
    </w:p>
    <w:p w14:paraId="00924B5C"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8" w:lineRule="auto"/>
        <w:ind w:left="115" w:right="107" w:firstLine="710"/>
        <w:jc w:val="both"/>
      </w:pPr>
      <w:r>
        <w:t>Осенью 2017 года на рассмотрении в Государственной Думе Федерального Собрания РФ, помимо упомянутого нами проекта изменений, представленного Верховным Судом РФ, также был представлен проект с изменениями за авторством депутата П.В. Крашенинникова, также касающийся института представительства. Депутат аналогично предлагал внести профессиональный ценз для представителей в гражданском и арбитражном процессах, но, вместе с тем, установить обязанность для потенциальных представителей сдавать профессиональный экзамен по юридической специальности. Согласно законопроекту, если лицо получило юридическое образование за рубежом, то ему разрешалось предоставлять услуги судебного представителя только при условии, что освоенная им образовательная программа прошла российскую государственную аккредитацию.</w:t>
      </w:r>
    </w:p>
    <w:p w14:paraId="0761C677"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 w:line="228" w:lineRule="auto"/>
        <w:ind w:left="115" w:right="114" w:firstLine="710"/>
        <w:jc w:val="both"/>
      </w:pPr>
      <w:r>
        <w:t>Однако, законодатель отдал предпочтение новеллам, предложенным Верховным Судом РФ, что было отражено в Федеральном Законе «О внесении изменений в отдельные законодательные акты Российской Федерации» от 28 ноября 2018 г. № 451-ФЗ.</w:t>
      </w:r>
      <w:r>
        <w:rPr>
          <w:vertAlign w:val="superscript"/>
        </w:rPr>
        <w:t>6</w:t>
      </w:r>
    </w:p>
    <w:p w14:paraId="4D0785FE"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6" w:line="228" w:lineRule="auto"/>
        <w:ind w:left="115" w:right="115" w:firstLine="710"/>
        <w:jc w:val="both"/>
      </w:pPr>
      <w:r>
        <w:t>Таким образом, для осуществления представительства, начиная с 01 октября 2019 года, лицу необходимо предоставить суду доверенность, диплом о высшем юридическом образовании или документы, подтверждающие наличие ученой степени по юридической специальности; адвокат предоставляет доверенность и адвокатское удостоверение (ст. 49 ГПК, ст. 59 АПК). При осуществлении представительства у мировых судей и в судах общей юрисдикции достаточно только доверенности.</w:t>
      </w:r>
    </w:p>
    <w:p w14:paraId="34AC408C"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0" w:lineRule="auto"/>
        <w:ind w:left="115" w:right="112" w:firstLine="710"/>
        <w:jc w:val="both"/>
      </w:pPr>
      <w:r>
        <w:t>Стоит отметить, что Гражданским процессуальным кодексом в части 3 статьи 52 не был предусмотрен профессиональный ценз для представительства по закону. Вместе с тем, такого правила нет в Арбитражном процессуальном кодексе, но, учитывая возможность аналогии процессуального закона, можно сказать о межотраслевом характере данной нормы.</w:t>
      </w:r>
    </w:p>
    <w:p w14:paraId="4F34FFCB"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59" w:lineRule="exact"/>
        <w:ind w:left="826"/>
        <w:jc w:val="both"/>
      </w:pPr>
      <w:r>
        <w:t>Резюмируя наше исследование, можно сделать ряд выводов.</w:t>
      </w:r>
    </w:p>
    <w:p w14:paraId="3F45ECC8"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0" w:lineRule="auto"/>
        <w:ind w:left="115" w:right="113" w:firstLine="710"/>
        <w:jc w:val="both"/>
      </w:pPr>
      <w:r>
        <w:t>Позитивным явлением является стремление к унификаций требований, предъявляемых к представителю в гражданском, арбитражном и административном судопроизводстве (КАС – самый «молодой» процессуальный кодекс, в нем законодатель изначально заложил профессиональный</w:t>
      </w:r>
      <w:r>
        <w:rPr>
          <w:spacing w:val="-1"/>
        </w:rPr>
        <w:t xml:space="preserve"> </w:t>
      </w:r>
      <w:r>
        <w:t>ценз).</w:t>
      </w:r>
    </w:p>
    <w:p w14:paraId="78998CEB"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8" w:lineRule="auto"/>
        <w:ind w:left="115" w:right="113" w:firstLine="710"/>
        <w:jc w:val="both"/>
      </w:pPr>
      <w:r>
        <w:t>Наличие профессионального ценза соответствует гарантиям, предоставляемым Конституцией РФ. Вместе с тем, законодатель не ограничил круг представителей лишь адвокатами, чем пресек укрепление адвокатской монополии, а значит не будет скачка стоимости профессиональных юридических услуг.</w:t>
      </w:r>
    </w:p>
    <w:p w14:paraId="35C01286"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 w:line="228" w:lineRule="auto"/>
        <w:ind w:left="115" w:right="113" w:firstLine="710"/>
        <w:jc w:val="both"/>
      </w:pPr>
      <w:r>
        <w:t>Возможность осуществлять судебной представительство у мировых судей и в районных судах без специальных требований обеспечивает возможность доступа к функциям представителя у студентов юридических вузов и начинающих юристов,</w:t>
      </w:r>
      <w:r>
        <w:rPr>
          <w:spacing w:val="4"/>
        </w:rPr>
        <w:t xml:space="preserve"> </w:t>
      </w:r>
      <w:r>
        <w:t>что</w:t>
      </w:r>
    </w:p>
    <w:p w14:paraId="249381F6" w14:textId="73676653"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1"/>
        <w:rPr>
          <w:sz w:val="20"/>
        </w:rPr>
      </w:pPr>
      <w:r>
        <w:rPr>
          <w:noProof/>
          <w:lang w:bidi="ar-SA"/>
        </w:rPr>
        <mc:AlternateContent>
          <mc:Choice Requires="wps">
            <w:drawing>
              <wp:anchor distT="0" distB="0" distL="0" distR="0" simplePos="0" relativeHeight="251660288" behindDoc="1" locked="0" layoutInCell="1" allowOverlap="1" wp14:anchorId="021AE31E" wp14:editId="5F524D2B">
                <wp:simplePos x="0" y="0"/>
                <wp:positionH relativeFrom="page">
                  <wp:posOffset>721360</wp:posOffset>
                </wp:positionH>
                <wp:positionV relativeFrom="paragraph">
                  <wp:posOffset>133985</wp:posOffset>
                </wp:positionV>
                <wp:extent cx="1829435" cy="9525"/>
                <wp:effectExtent l="0" t="0" r="0" b="0"/>
                <wp:wrapTopAndBottom/>
                <wp:docPr id="2" name="Прямоугольник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9435" cy="952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ex="http://schemas.microsoft.com/office/word/2018/wordml/cex">
            <w:pict>
              <v:rect w14:anchorId="28A6F46C" id="Прямоугольник 2" o:spid="_x0000_s1026" style="position:absolute;margin-left:56.8pt;margin-top:10.55pt;width:144.05pt;height:.75pt;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" fillcolor="black" stroked="f">
                <w10:wrap type="topAndBottom" anchorx="page"/>
              </v:rect>
            </w:pict>
          </mc:Fallback>
        </mc:AlternateContent>
      </w:r>
      <w:r>
        <w:rPr>
          <w:position w:val="6"/>
          <w:sz w:val="13"/>
        </w:rPr>
        <w:t xml:space="preserve">4 </w:t>
      </w:r>
      <w:r>
        <w:rPr>
          <w:sz w:val="20"/>
        </w:rPr>
        <w:t>Об утверждении государственной программы Российской Федерации «Юстиция»: постановление Правительства Российской Федерации от 15.04.2014 № 312 // СПС Консультант Плюс.</w:t>
      </w:r>
    </w:p>
    <w:p w14:paraId="49ED87B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 w:line="228" w:lineRule="auto"/>
        <w:ind w:left="115" w:right="108"/>
        <w:jc w:val="both"/>
        <w:rPr>
          <w:rFonts w:ascii="Times New Roman" w:hAnsi="Times New Roman" w:cs="Times New Roman"/>
          <w:sz w:val="20"/>
        </w:rPr>
      </w:pPr>
      <w:r>
        <w:rPr>
          <w:rFonts w:ascii="Times New Roman" w:hAnsi="Times New Roman" w:cs="Times New Roman"/>
          <w:position w:val="6"/>
          <w:sz w:val="13"/>
        </w:rPr>
        <w:t xml:space="preserve">5 </w:t>
      </w:r>
      <w:r>
        <w:rPr>
          <w:rFonts w:ascii="Times New Roman" w:hAnsi="Times New Roman" w:cs="Times New Roman"/>
          <w:sz w:val="20"/>
        </w:rPr>
        <w:t>Об утверждении Концепции регулирования рынка профессиональной юридической помощи: проект Распоряжения Правительства Российской Федерации. - URL: minjust.ru/ru/deyatelnost-v-sfere- advokatury/koncepciya-regulirovaniya-rynka-professionalnoy-yu-ridiche-skoy (дата обращения: 01.03.2020)</w:t>
      </w:r>
    </w:p>
    <w:p w14:paraId="387B7C8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3" w:line="228" w:lineRule="auto"/>
        <w:ind w:left="115" w:right="103"/>
        <w:jc w:val="both"/>
        <w:rPr>
          <w:rFonts w:ascii="Times New Roman" w:hAnsi="Times New Roman" w:cs="Times New Roman"/>
          <w:sz w:val="20"/>
        </w:rPr>
      </w:pPr>
      <w:r>
        <w:rPr>
          <w:rFonts w:ascii="Times New Roman" w:hAnsi="Times New Roman" w:cs="Times New Roman"/>
          <w:position w:val="6"/>
          <w:sz w:val="13"/>
        </w:rPr>
        <w:t xml:space="preserve">6 </w:t>
      </w:r>
      <w:r>
        <w:rPr>
          <w:rFonts w:ascii="Times New Roman" w:hAnsi="Times New Roman" w:cs="Times New Roman"/>
          <w:sz w:val="20"/>
        </w:rPr>
        <w:t>Берлин А. Процессуальная революция от Верховного суда. - URL: advgazeta.ru/mneniya/protsessualnaya- revolyu-tsiya-ot-verkhovnogo-suda (дата обращения: 01.03.2020).</w:t>
      </w:r>
    </w:p>
    <w:p w14:paraId="7464F7B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28" w:lineRule="auto"/>
        <w:rPr>
          <w:rFonts w:ascii="Times New Roman" w:hAnsi="Times New Roman" w:cs="Times New Roman"/>
          <w:sz w:val="20"/>
        </w:rPr>
        <w:sectPr w:rsidR="001B6C3B">
          <w:pgSz w:w="11900" w:h="16840"/>
          <w:pgMar w:top="1060" w:right="1020" w:bottom="280" w:left="1020" w:header="720" w:footer="720" w:gutter="0"/>
          <w:cols w:space="720"/>
        </w:sectPr>
      </w:pPr>
    </w:p>
    <w:p w14:paraId="608136C6"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5" w:line="228" w:lineRule="auto"/>
        <w:ind w:left="115"/>
      </w:pPr>
      <w:r>
        <w:lastRenderedPageBreak/>
        <w:t>способствует лучшему и более плавному входу в профессию и развитию профессиональных качеств.</w:t>
      </w:r>
      <w:r>
        <w:rPr>
          <w:vertAlign w:val="superscript"/>
        </w:rPr>
        <w:t>7</w:t>
      </w:r>
    </w:p>
    <w:p w14:paraId="581F226B"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5"/>
        <w:rPr>
          <w:sz w:val="14"/>
        </w:rPr>
      </w:pPr>
    </w:p>
    <w:p w14:paraId="3D785091" w14:textId="77777777" w:rsidR="001B6C3B" w:rsidRDefault="001B6C3B" w:rsidP="001B6C3B">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762"/>
        <w:rPr>
          <w:rFonts w:ascii="Times New Roman" w:hAnsi="Times New Roman" w:cs="Times New Roman"/>
          <w:color w:val="auto"/>
        </w:rPr>
      </w:pPr>
      <w:r>
        <w:rPr>
          <w:rFonts w:ascii="Times New Roman" w:hAnsi="Times New Roman" w:cs="Times New Roman"/>
          <w:color w:val="auto"/>
        </w:rPr>
        <w:t>Библиографический список</w:t>
      </w:r>
    </w:p>
    <w:p w14:paraId="4BB7A184"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
        <w:rPr>
          <w:b/>
          <w:sz w:val="22"/>
        </w:rPr>
      </w:pPr>
    </w:p>
    <w:p w14:paraId="5EBC32CC" w14:textId="77777777" w:rsidR="001B6C3B" w:rsidRDefault="001B6C3B" w:rsidP="00E3198A">
      <w:pPr>
        <w:pStyle w:val="a4"/>
        <w:widowControl w:val="0"/>
        <w:numPr>
          <w:ilvl w:val="0"/>
          <w:numId w:val="25"/>
        </w:numPr>
        <w:tabs>
          <w:tab w:val="left" w:pos="1066"/>
        </w:tabs>
        <w:autoSpaceDE w:val="0"/>
        <w:autoSpaceDN w:val="0"/>
        <w:spacing w:after="0" w:line="270" w:lineRule="exact"/>
        <w:jc w:val="both"/>
        <w:rPr>
          <w:rFonts w:ascii="Times New Roman" w:hAnsi="Times New Roman" w:cs="Times New Roman"/>
          <w:sz w:val="24"/>
        </w:rPr>
      </w:pPr>
      <w:r>
        <w:rPr>
          <w:rFonts w:ascii="Times New Roman" w:hAnsi="Times New Roman" w:cs="Times New Roman"/>
          <w:sz w:val="24"/>
        </w:rPr>
        <w:t>Гражданский процесс / под ред. М.Г. Авдюкова. - М., 1970. - С.</w:t>
      </w:r>
      <w:r>
        <w:rPr>
          <w:rFonts w:ascii="Times New Roman" w:hAnsi="Times New Roman" w:cs="Times New Roman"/>
          <w:spacing w:val="-7"/>
          <w:sz w:val="24"/>
        </w:rPr>
        <w:t xml:space="preserve"> </w:t>
      </w:r>
      <w:r>
        <w:rPr>
          <w:rFonts w:ascii="Times New Roman" w:hAnsi="Times New Roman" w:cs="Times New Roman"/>
          <w:sz w:val="24"/>
        </w:rPr>
        <w:t>44.</w:t>
      </w:r>
    </w:p>
    <w:p w14:paraId="74F5A0E3" w14:textId="77777777" w:rsidR="001B6C3B" w:rsidRDefault="001B6C3B" w:rsidP="00E3198A">
      <w:pPr>
        <w:pStyle w:val="a4"/>
        <w:widowControl w:val="0"/>
        <w:numPr>
          <w:ilvl w:val="0"/>
          <w:numId w:val="25"/>
        </w:numPr>
        <w:tabs>
          <w:tab w:val="left" w:pos="1161"/>
        </w:tabs>
        <w:autoSpaceDE w:val="0"/>
        <w:autoSpaceDN w:val="0"/>
        <w:spacing w:before="3" w:after="0" w:line="228" w:lineRule="auto"/>
        <w:ind w:left="115" w:right="118" w:firstLine="710"/>
        <w:jc w:val="both"/>
        <w:rPr>
          <w:rFonts w:ascii="Times New Roman" w:hAnsi="Times New Roman" w:cs="Times New Roman"/>
          <w:sz w:val="24"/>
        </w:rPr>
      </w:pPr>
      <w:r>
        <w:rPr>
          <w:rFonts w:ascii="Times New Roman" w:hAnsi="Times New Roman" w:cs="Times New Roman"/>
          <w:sz w:val="24"/>
        </w:rPr>
        <w:t>Мельников АА. Понятие представительства в гражданском процессе // Курс советского процессуального права: в 2 т. / редкол. АА. Мельников, Т.Е. Абова, П.П. Гуреев [и др.]. - М.: Наука, 1981. - Т. 1. -С.</w:t>
      </w:r>
      <w:r>
        <w:rPr>
          <w:rFonts w:ascii="Times New Roman" w:hAnsi="Times New Roman" w:cs="Times New Roman"/>
          <w:spacing w:val="-3"/>
          <w:sz w:val="24"/>
        </w:rPr>
        <w:t xml:space="preserve"> </w:t>
      </w:r>
      <w:r>
        <w:rPr>
          <w:rFonts w:ascii="Times New Roman" w:hAnsi="Times New Roman" w:cs="Times New Roman"/>
          <w:sz w:val="24"/>
        </w:rPr>
        <w:t>299.</w:t>
      </w:r>
    </w:p>
    <w:p w14:paraId="0E2A0A12" w14:textId="77777777" w:rsidR="001B6C3B" w:rsidRDefault="001B6C3B" w:rsidP="00E3198A">
      <w:pPr>
        <w:pStyle w:val="a4"/>
        <w:widowControl w:val="0"/>
        <w:numPr>
          <w:ilvl w:val="0"/>
          <w:numId w:val="25"/>
        </w:numPr>
        <w:tabs>
          <w:tab w:val="left" w:pos="1326"/>
        </w:tabs>
        <w:autoSpaceDE w:val="0"/>
        <w:autoSpaceDN w:val="0"/>
        <w:spacing w:after="0" w:line="230" w:lineRule="auto"/>
        <w:ind w:left="115" w:right="104" w:firstLine="710"/>
        <w:jc w:val="both"/>
        <w:rPr>
          <w:rFonts w:ascii="Times New Roman" w:hAnsi="Times New Roman" w:cs="Times New Roman"/>
          <w:sz w:val="24"/>
        </w:rPr>
      </w:pPr>
      <w:r>
        <w:rPr>
          <w:rFonts w:ascii="Times New Roman" w:hAnsi="Times New Roman" w:cs="Times New Roman"/>
          <w:sz w:val="24"/>
        </w:rPr>
        <w:t>Панченко В.Ю., Шайхутдинов Е.М. Профессиональное юридическое представительство в гражданском и арбитражном процессе // Современное право. - 2013. - № 4. - С.</w:t>
      </w:r>
      <w:r>
        <w:rPr>
          <w:rFonts w:ascii="Times New Roman" w:hAnsi="Times New Roman" w:cs="Times New Roman"/>
          <w:spacing w:val="-2"/>
          <w:sz w:val="24"/>
        </w:rPr>
        <w:t xml:space="preserve"> </w:t>
      </w:r>
      <w:r>
        <w:rPr>
          <w:rFonts w:ascii="Times New Roman" w:hAnsi="Times New Roman" w:cs="Times New Roman"/>
          <w:sz w:val="24"/>
        </w:rPr>
        <w:t>103.</w:t>
      </w:r>
    </w:p>
    <w:p w14:paraId="7DD113B3" w14:textId="77777777" w:rsidR="001B6C3B" w:rsidRDefault="001B6C3B" w:rsidP="00E3198A">
      <w:pPr>
        <w:pStyle w:val="a4"/>
        <w:widowControl w:val="0"/>
        <w:numPr>
          <w:ilvl w:val="0"/>
          <w:numId w:val="25"/>
        </w:numPr>
        <w:tabs>
          <w:tab w:val="left" w:pos="1096"/>
        </w:tabs>
        <w:autoSpaceDE w:val="0"/>
        <w:autoSpaceDN w:val="0"/>
        <w:spacing w:after="0" w:line="228" w:lineRule="auto"/>
        <w:ind w:left="115" w:right="111" w:firstLine="710"/>
        <w:jc w:val="both"/>
        <w:rPr>
          <w:rFonts w:ascii="Times New Roman" w:hAnsi="Times New Roman" w:cs="Times New Roman"/>
          <w:sz w:val="24"/>
        </w:rPr>
      </w:pPr>
      <w:r>
        <w:rPr>
          <w:rFonts w:ascii="Times New Roman" w:hAnsi="Times New Roman" w:cs="Times New Roman"/>
          <w:sz w:val="24"/>
        </w:rPr>
        <w:t>Об утверждении государственной программы Российской Федерации «Юстиция»: постановление Правительства Российской Федерации от 15.04.2014 № 312 // СПС Консультант</w:t>
      </w:r>
      <w:r>
        <w:rPr>
          <w:rFonts w:ascii="Times New Roman" w:hAnsi="Times New Roman" w:cs="Times New Roman"/>
          <w:spacing w:val="-1"/>
          <w:sz w:val="24"/>
        </w:rPr>
        <w:t xml:space="preserve"> </w:t>
      </w:r>
      <w:r>
        <w:rPr>
          <w:rFonts w:ascii="Times New Roman" w:hAnsi="Times New Roman" w:cs="Times New Roman"/>
          <w:sz w:val="24"/>
        </w:rPr>
        <w:t>Плюс.</w:t>
      </w:r>
    </w:p>
    <w:p w14:paraId="58EDBEF3" w14:textId="77777777" w:rsidR="001B6C3B" w:rsidRDefault="001B6C3B" w:rsidP="00E3198A">
      <w:pPr>
        <w:pStyle w:val="a4"/>
        <w:widowControl w:val="0"/>
        <w:numPr>
          <w:ilvl w:val="0"/>
          <w:numId w:val="25"/>
        </w:numPr>
        <w:tabs>
          <w:tab w:val="left" w:pos="1076"/>
        </w:tabs>
        <w:autoSpaceDE w:val="0"/>
        <w:autoSpaceDN w:val="0"/>
        <w:spacing w:after="0" w:line="230" w:lineRule="auto"/>
        <w:ind w:left="115" w:right="107" w:firstLine="710"/>
        <w:jc w:val="both"/>
        <w:rPr>
          <w:rFonts w:ascii="Times New Roman" w:hAnsi="Times New Roman" w:cs="Times New Roman"/>
          <w:sz w:val="24"/>
        </w:rPr>
      </w:pPr>
      <w:r>
        <w:rPr>
          <w:rFonts w:ascii="Times New Roman" w:hAnsi="Times New Roman" w:cs="Times New Roman"/>
          <w:sz w:val="24"/>
        </w:rPr>
        <w:t>Об утверждении Концепции регулирования рынка профессиональной юридической помощи: проект Распоряжения Правительства Российской Федерации. - URL: minjust.ru/ru/deyatelnost-v-sfere-advokatury/koncepciya-regulirovaniya-rynka-professionalnoy-yu- ridiche-skoy (дата обращения:</w:t>
      </w:r>
      <w:r>
        <w:rPr>
          <w:rFonts w:ascii="Times New Roman" w:hAnsi="Times New Roman" w:cs="Times New Roman"/>
          <w:spacing w:val="-6"/>
          <w:sz w:val="24"/>
        </w:rPr>
        <w:t xml:space="preserve"> </w:t>
      </w:r>
      <w:r>
        <w:rPr>
          <w:rFonts w:ascii="Times New Roman" w:hAnsi="Times New Roman" w:cs="Times New Roman"/>
          <w:sz w:val="24"/>
        </w:rPr>
        <w:t>01.03.2020)</w:t>
      </w:r>
    </w:p>
    <w:p w14:paraId="33C3531C" w14:textId="77777777" w:rsidR="001B6C3B" w:rsidRDefault="001B6C3B" w:rsidP="00E3198A">
      <w:pPr>
        <w:pStyle w:val="a4"/>
        <w:widowControl w:val="0"/>
        <w:numPr>
          <w:ilvl w:val="0"/>
          <w:numId w:val="25"/>
        </w:numPr>
        <w:tabs>
          <w:tab w:val="left" w:pos="1276"/>
        </w:tabs>
        <w:autoSpaceDE w:val="0"/>
        <w:autoSpaceDN w:val="0"/>
        <w:spacing w:after="0" w:line="228" w:lineRule="auto"/>
        <w:ind w:left="115" w:right="102" w:firstLine="710"/>
        <w:jc w:val="both"/>
        <w:rPr>
          <w:rFonts w:ascii="Times New Roman" w:hAnsi="Times New Roman" w:cs="Times New Roman"/>
          <w:sz w:val="24"/>
        </w:rPr>
      </w:pPr>
      <w:r>
        <w:rPr>
          <w:rFonts w:ascii="Times New Roman" w:hAnsi="Times New Roman" w:cs="Times New Roman"/>
          <w:sz w:val="24"/>
        </w:rPr>
        <w:t>Берлин А. Процессуальная революция от Верховного суда. - URL: advgazeta.ru/mneniya/protsessualnaya-revolyu-tsiya-ot-verkhovnogo-suda (дата обращения: 01.03.2020).</w:t>
      </w:r>
    </w:p>
    <w:p w14:paraId="6758230D" w14:textId="77777777" w:rsidR="001B6C3B" w:rsidRDefault="001B6C3B" w:rsidP="00E3198A">
      <w:pPr>
        <w:pStyle w:val="a4"/>
        <w:widowControl w:val="0"/>
        <w:numPr>
          <w:ilvl w:val="0"/>
          <w:numId w:val="25"/>
        </w:numPr>
        <w:tabs>
          <w:tab w:val="left" w:pos="1136"/>
        </w:tabs>
        <w:autoSpaceDE w:val="0"/>
        <w:autoSpaceDN w:val="0"/>
        <w:spacing w:after="0" w:line="228" w:lineRule="auto"/>
        <w:ind w:left="115" w:right="112" w:firstLine="710"/>
        <w:jc w:val="both"/>
        <w:rPr>
          <w:rFonts w:ascii="Times New Roman" w:hAnsi="Times New Roman" w:cs="Times New Roman"/>
          <w:sz w:val="24"/>
        </w:rPr>
      </w:pPr>
      <w:r>
        <w:rPr>
          <w:rFonts w:ascii="Times New Roman" w:hAnsi="Times New Roman" w:cs="Times New Roman"/>
          <w:sz w:val="24"/>
        </w:rPr>
        <w:t>Атагимова, Э.И., Макаренко Г.И. Состояние и проблемы оказания бесплатной юридической помощи населению II Мониторинг правоприменения. - М., 2015. - С.</w:t>
      </w:r>
      <w:r>
        <w:rPr>
          <w:rFonts w:ascii="Times New Roman" w:hAnsi="Times New Roman" w:cs="Times New Roman"/>
          <w:spacing w:val="-5"/>
          <w:sz w:val="24"/>
        </w:rPr>
        <w:t xml:space="preserve"> </w:t>
      </w:r>
      <w:r>
        <w:rPr>
          <w:rFonts w:ascii="Times New Roman" w:hAnsi="Times New Roman" w:cs="Times New Roman"/>
          <w:sz w:val="24"/>
        </w:rPr>
        <w:t>56-57.</w:t>
      </w:r>
    </w:p>
    <w:p w14:paraId="3B45874F"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rPr>
      </w:pPr>
    </w:p>
    <w:p w14:paraId="7564B684"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rPr>
      </w:pPr>
    </w:p>
    <w:p w14:paraId="33BAD778"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rPr>
      </w:pPr>
    </w:p>
    <w:p w14:paraId="21E8F7A1"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rPr>
      </w:pPr>
    </w:p>
    <w:p w14:paraId="01709796"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rPr>
      </w:pPr>
    </w:p>
    <w:p w14:paraId="5773FC87"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rPr>
      </w:pPr>
    </w:p>
    <w:p w14:paraId="17ABB93D"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rPr>
      </w:pPr>
    </w:p>
    <w:p w14:paraId="31EE1135"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rPr>
      </w:pPr>
    </w:p>
    <w:p w14:paraId="1516F300"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rPr>
      </w:pPr>
    </w:p>
    <w:p w14:paraId="2C750B30"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rPr>
      </w:pPr>
    </w:p>
    <w:p w14:paraId="213AEF28"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rPr>
      </w:pPr>
    </w:p>
    <w:p w14:paraId="6CF58647"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rPr>
      </w:pPr>
    </w:p>
    <w:p w14:paraId="222D4D34"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rPr>
      </w:pPr>
    </w:p>
    <w:p w14:paraId="3EF77DA9"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rPr>
      </w:pPr>
    </w:p>
    <w:p w14:paraId="379C97F5"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rPr>
      </w:pPr>
    </w:p>
    <w:p w14:paraId="0D7E6A7F"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rPr>
      </w:pPr>
    </w:p>
    <w:p w14:paraId="45C85178"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rPr>
      </w:pPr>
    </w:p>
    <w:p w14:paraId="30EA3F70"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rPr>
      </w:pPr>
    </w:p>
    <w:p w14:paraId="2590732C"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rPr>
      </w:pPr>
    </w:p>
    <w:p w14:paraId="319F1D67"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rPr>
      </w:pPr>
    </w:p>
    <w:p w14:paraId="4037B7A8"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rPr>
      </w:pPr>
    </w:p>
    <w:p w14:paraId="348D8D8F"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rPr>
      </w:pPr>
    </w:p>
    <w:p w14:paraId="357C8582"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rPr>
      </w:pPr>
    </w:p>
    <w:p w14:paraId="051AAEE9"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rPr>
      </w:pPr>
    </w:p>
    <w:p w14:paraId="147F4C53"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rPr>
      </w:pPr>
    </w:p>
    <w:p w14:paraId="729FB9EE"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rPr>
      </w:pPr>
    </w:p>
    <w:p w14:paraId="74ACDEFC"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rPr>
      </w:pPr>
    </w:p>
    <w:p w14:paraId="26F36FBF"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rPr>
      </w:pPr>
    </w:p>
    <w:p w14:paraId="6412B226"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rPr>
      </w:pPr>
    </w:p>
    <w:p w14:paraId="3C494BC0"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rPr>
      </w:pPr>
    </w:p>
    <w:p w14:paraId="62EBC676" w14:textId="77777777"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rPr>
      </w:pPr>
    </w:p>
    <w:p w14:paraId="0A29822D" w14:textId="5B4C4D7B" w:rsidR="001B6C3B" w:rsidRDefault="001B6C3B" w:rsidP="001B6C3B">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9"/>
        <w:rPr>
          <w:sz w:val="19"/>
        </w:rPr>
      </w:pPr>
      <w:r>
        <w:rPr>
          <w:noProof/>
          <w:lang w:bidi="ar-SA"/>
        </w:rPr>
        <mc:AlternateContent>
          <mc:Choice Requires="wps">
            <w:drawing>
              <wp:anchor distT="0" distB="0" distL="0" distR="0" simplePos="0" relativeHeight="251661312" behindDoc="1" locked="0" layoutInCell="1" allowOverlap="1" wp14:anchorId="5C87B5E3" wp14:editId="7D5C5C42">
                <wp:simplePos x="0" y="0"/>
                <wp:positionH relativeFrom="page">
                  <wp:posOffset>721360</wp:posOffset>
                </wp:positionH>
                <wp:positionV relativeFrom="paragraph">
                  <wp:posOffset>169545</wp:posOffset>
                </wp:positionV>
                <wp:extent cx="1829435" cy="9525"/>
                <wp:effectExtent l="0" t="0" r="0" b="0"/>
                <wp:wrapTopAndBottom/>
                <wp:docPr id="1" name="Прямоугольник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9435" cy="952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ex="http://schemas.microsoft.com/office/word/2018/wordml/cex">
            <w:pict>
              <v:rect w14:anchorId="69EA91A6" id="Прямоугольник 1" o:spid="_x0000_s1026" style="position:absolute;margin-left:56.8pt;margin-top:13.35pt;width:144.05pt;height:.75pt;z-index:-2516551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" fillcolor="black" stroked="f">
                <w10:wrap type="topAndBottom" anchorx="page"/>
              </v:rect>
            </w:pict>
          </mc:Fallback>
        </mc:AlternateContent>
      </w:r>
    </w:p>
    <w:p w14:paraId="75739BA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6" w:line="228" w:lineRule="auto"/>
        <w:ind w:left="115" w:firstLine="710"/>
        <w:rPr>
          <w:rFonts w:ascii="Times New Roman" w:hAnsi="Times New Roman" w:cs="Times New Roman"/>
          <w:sz w:val="20"/>
        </w:rPr>
      </w:pPr>
      <w:r>
        <w:rPr>
          <w:rFonts w:ascii="Times New Roman" w:hAnsi="Times New Roman" w:cs="Times New Roman"/>
          <w:position w:val="6"/>
          <w:sz w:val="13"/>
        </w:rPr>
        <w:t xml:space="preserve">7 </w:t>
      </w:r>
      <w:r>
        <w:rPr>
          <w:rFonts w:ascii="Times New Roman" w:hAnsi="Times New Roman" w:cs="Times New Roman"/>
          <w:sz w:val="20"/>
        </w:rPr>
        <w:t>Атагимова, Э.И., Макаренко Г.И. Состояние и проблемы оказания бесплатной юридической помощи населению II Мониторинг правоприменения. - М., 2015. - С. 56-57.</w:t>
      </w:r>
    </w:p>
    <w:p w14:paraId="6F26AB4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28" w:lineRule="auto"/>
        <w:rPr>
          <w:rFonts w:ascii="Times New Roman" w:hAnsi="Times New Roman" w:cs="Times New Roman"/>
          <w:sz w:val="20"/>
        </w:rPr>
        <w:sectPr w:rsidR="001B6C3B">
          <w:pgSz w:w="11900" w:h="16840"/>
          <w:pgMar w:top="1060" w:right="1020" w:bottom="280" w:left="1020" w:header="720" w:footer="720" w:gutter="0"/>
          <w:cols w:space="720"/>
        </w:sectPr>
      </w:pPr>
    </w:p>
    <w:p w14:paraId="3A3782B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245"/>
        <w:jc w:val="both"/>
        <w:rPr>
          <w:rFonts w:ascii="Times New Roman" w:hAnsi="Times New Roman" w:cs="Times New Roman"/>
          <w:b/>
          <w:sz w:val="24"/>
          <w:szCs w:val="24"/>
        </w:rPr>
      </w:pPr>
      <w:r>
        <w:rPr>
          <w:rFonts w:ascii="Times New Roman" w:hAnsi="Times New Roman" w:cs="Times New Roman"/>
          <w:b/>
          <w:sz w:val="24"/>
          <w:szCs w:val="24"/>
        </w:rPr>
        <w:lastRenderedPageBreak/>
        <w:t>УДК 341.9</w:t>
      </w:r>
    </w:p>
    <w:p w14:paraId="7E9F76E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245"/>
        <w:jc w:val="both"/>
        <w:rPr>
          <w:rFonts w:ascii="Times New Roman" w:hAnsi="Times New Roman" w:cs="Times New Roman"/>
          <w:b/>
          <w:sz w:val="24"/>
          <w:szCs w:val="24"/>
        </w:rPr>
      </w:pPr>
    </w:p>
    <w:p w14:paraId="46A191D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245"/>
        <w:jc w:val="both"/>
        <w:rPr>
          <w:rFonts w:ascii="Times New Roman" w:hAnsi="Times New Roman" w:cs="Times New Roman"/>
          <w:b/>
          <w:sz w:val="24"/>
          <w:szCs w:val="24"/>
          <w:shd w:val="clear" w:color="auto" w:fill="FFFFFF"/>
        </w:rPr>
      </w:pPr>
      <w:r>
        <w:rPr>
          <w:rFonts w:ascii="Times New Roman" w:hAnsi="Times New Roman" w:cs="Times New Roman"/>
          <w:b/>
          <w:sz w:val="24"/>
          <w:szCs w:val="24"/>
          <w:shd w:val="clear" w:color="auto" w:fill="FFFFFF"/>
        </w:rPr>
        <w:t>Самсонов Алексей Игоревич</w:t>
      </w:r>
    </w:p>
    <w:p w14:paraId="3F651D8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245"/>
        <w:jc w:val="both"/>
        <w:rPr>
          <w:rFonts w:ascii="Times New Roman" w:hAnsi="Times New Roman" w:cs="Times New Roman"/>
          <w:b/>
          <w:sz w:val="24"/>
          <w:szCs w:val="24"/>
          <w:shd w:val="clear" w:color="auto" w:fill="FFFFFF"/>
        </w:rPr>
      </w:pPr>
      <w:r>
        <w:rPr>
          <w:rFonts w:ascii="Times New Roman" w:eastAsia="Times New Roman" w:hAnsi="Times New Roman" w:cs="Times New Roman"/>
          <w:b/>
          <w:sz w:val="24"/>
          <w:szCs w:val="24"/>
          <w:lang w:eastAsia="ru-RU"/>
        </w:rPr>
        <w:t>Samsonov Alexey Igorevich</w:t>
      </w:r>
    </w:p>
    <w:p w14:paraId="2529B861" w14:textId="7983AEA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245"/>
        <w:jc w:val="both"/>
        <w:rPr>
          <w:rFonts w:ascii="Times New Roman" w:hAnsi="Times New Roman" w:cs="Times New Roman"/>
          <w:sz w:val="24"/>
          <w:szCs w:val="24"/>
        </w:rPr>
      </w:pPr>
      <w:r>
        <w:rPr>
          <w:rFonts w:ascii="Times New Roman" w:hAnsi="Times New Roman" w:cs="Times New Roman"/>
          <w:sz w:val="24"/>
          <w:szCs w:val="24"/>
        </w:rPr>
        <w:t>магистр</w:t>
      </w:r>
      <w:r w:rsidR="007D574D">
        <w:rPr>
          <w:rFonts w:ascii="Times New Roman" w:hAnsi="Times New Roman" w:cs="Times New Roman"/>
          <w:sz w:val="24"/>
          <w:szCs w:val="24"/>
        </w:rPr>
        <w:t>ант</w:t>
      </w:r>
      <w:r>
        <w:rPr>
          <w:rFonts w:ascii="Times New Roman" w:hAnsi="Times New Roman" w:cs="Times New Roman"/>
          <w:sz w:val="24"/>
          <w:szCs w:val="24"/>
        </w:rPr>
        <w:t xml:space="preserve"> Федеральное государственное бюджетное образовательное учреждение высшего образования «Кубанский государственный аграрный университет имени И.Т. Трубилина»</w:t>
      </w:r>
    </w:p>
    <w:p w14:paraId="4C9324E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245"/>
        <w:jc w:val="both"/>
        <w:rPr>
          <w:rFonts w:ascii="Times New Roman" w:hAnsi="Times New Roman" w:cs="Times New Roman"/>
          <w:sz w:val="24"/>
          <w:szCs w:val="24"/>
          <w:lang w:val="en-US"/>
        </w:rPr>
      </w:pPr>
      <w:r>
        <w:rPr>
          <w:rFonts w:ascii="Times New Roman" w:hAnsi="Times New Roman" w:cs="Times New Roman"/>
          <w:sz w:val="24"/>
          <w:szCs w:val="24"/>
          <w:lang w:val="en-US"/>
        </w:rPr>
        <w:t>Federal State Budgetary Educational Institution of Higher Education</w:t>
      </w:r>
    </w:p>
    <w:p w14:paraId="43FB663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245"/>
        <w:jc w:val="both"/>
        <w:rPr>
          <w:rFonts w:ascii="Times New Roman" w:hAnsi="Times New Roman" w:cs="Times New Roman"/>
          <w:sz w:val="24"/>
          <w:szCs w:val="24"/>
          <w:lang w:val="en-US"/>
        </w:rPr>
      </w:pPr>
      <w:r>
        <w:rPr>
          <w:rFonts w:ascii="Times New Roman" w:hAnsi="Times New Roman" w:cs="Times New Roman"/>
          <w:sz w:val="24"/>
          <w:szCs w:val="24"/>
          <w:lang w:val="en-US"/>
        </w:rPr>
        <w:t>“Kuban State Agrarian University named after I.T. Trubilin”</w:t>
      </w:r>
    </w:p>
    <w:p w14:paraId="1E8D43F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245"/>
        <w:jc w:val="both"/>
        <w:rPr>
          <w:rFonts w:ascii="Times New Roman" w:hAnsi="Times New Roman" w:cs="Times New Roman"/>
          <w:sz w:val="24"/>
          <w:szCs w:val="24"/>
        </w:rPr>
      </w:pPr>
      <w:r>
        <w:rPr>
          <w:rFonts w:ascii="Times New Roman" w:hAnsi="Times New Roman" w:cs="Times New Roman"/>
          <w:sz w:val="24"/>
          <w:szCs w:val="24"/>
          <w:shd w:val="clear" w:color="auto" w:fill="FFFFFF"/>
        </w:rPr>
        <w:t>Российская Федерация,</w:t>
      </w:r>
      <w:r>
        <w:rPr>
          <w:rFonts w:ascii="Times New Roman" w:hAnsi="Times New Roman" w:cs="Times New Roman"/>
          <w:sz w:val="24"/>
          <w:szCs w:val="24"/>
        </w:rPr>
        <w:t xml:space="preserve"> Краснодар</w:t>
      </w:r>
    </w:p>
    <w:p w14:paraId="2C7446F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245"/>
        <w:jc w:val="both"/>
        <w:rPr>
          <w:rFonts w:ascii="Times New Roman" w:hAnsi="Times New Roman" w:cs="Times New Roman"/>
          <w:sz w:val="24"/>
          <w:szCs w:val="24"/>
        </w:rPr>
      </w:pPr>
      <w:r>
        <w:rPr>
          <w:rFonts w:ascii="Times New Roman" w:hAnsi="Times New Roman" w:cs="Times New Roman"/>
          <w:sz w:val="24"/>
          <w:szCs w:val="24"/>
          <w:lang w:val="en-US"/>
        </w:rPr>
        <w:t>Russian</w:t>
      </w:r>
      <w:r w:rsidRPr="00430C1C">
        <w:rPr>
          <w:rFonts w:ascii="Times New Roman" w:hAnsi="Times New Roman" w:cs="Times New Roman"/>
          <w:sz w:val="24"/>
          <w:szCs w:val="24"/>
        </w:rPr>
        <w:t xml:space="preserve"> </w:t>
      </w:r>
      <w:r>
        <w:rPr>
          <w:rFonts w:ascii="Times New Roman" w:hAnsi="Times New Roman" w:cs="Times New Roman"/>
          <w:sz w:val="24"/>
          <w:szCs w:val="24"/>
          <w:lang w:val="en-US"/>
        </w:rPr>
        <w:t>Federation</w:t>
      </w:r>
      <w:r>
        <w:rPr>
          <w:rFonts w:ascii="Times New Roman" w:hAnsi="Times New Roman" w:cs="Times New Roman"/>
          <w:sz w:val="24"/>
          <w:szCs w:val="24"/>
        </w:rPr>
        <w:t xml:space="preserve">, </w:t>
      </w:r>
      <w:r>
        <w:rPr>
          <w:rFonts w:ascii="Times New Roman" w:hAnsi="Times New Roman" w:cs="Times New Roman"/>
          <w:sz w:val="24"/>
          <w:szCs w:val="24"/>
          <w:lang w:val="en-US"/>
        </w:rPr>
        <w:t>Krasnodar</w:t>
      </w:r>
    </w:p>
    <w:p w14:paraId="03D390CF" w14:textId="77777777" w:rsidR="001B6C3B" w:rsidRDefault="00EE7838"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245"/>
        <w:jc w:val="both"/>
        <w:rPr>
          <w:rStyle w:val="a9"/>
          <w:shd w:val="clear" w:color="auto" w:fill="FFFFFF"/>
        </w:rPr>
      </w:pPr>
      <w:hyperlink r:id="rId37" w:history="1">
        <w:r w:rsidR="001B6C3B">
          <w:rPr>
            <w:rStyle w:val="a9"/>
            <w:rFonts w:ascii="Times New Roman" w:hAnsi="Times New Roman" w:cs="Times New Roman"/>
            <w:sz w:val="24"/>
            <w:szCs w:val="24"/>
            <w:shd w:val="clear" w:color="auto" w:fill="FFFFFF"/>
          </w:rPr>
          <w:t>alxsmsnv@gmail.com</w:t>
        </w:r>
      </w:hyperlink>
    </w:p>
    <w:p w14:paraId="6666FA3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b/>
          <w:bCs/>
        </w:rPr>
      </w:pPr>
    </w:p>
    <w:p w14:paraId="1799DF7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hAnsi="Times New Roman" w:cs="Times New Roman"/>
          <w:b/>
          <w:bCs/>
          <w:sz w:val="24"/>
          <w:szCs w:val="24"/>
        </w:rPr>
      </w:pPr>
      <w:r>
        <w:rPr>
          <w:rFonts w:ascii="Times New Roman" w:hAnsi="Times New Roman" w:cs="Times New Roman"/>
          <w:b/>
          <w:bCs/>
          <w:sz w:val="24"/>
          <w:szCs w:val="24"/>
        </w:rPr>
        <w:t>КОЛЛИЗИИ В СЕМЕЙНЫХ ОТНОШЕНИЯХ, СВЯЗАННЫЕ С РАЗДЕЛОМ ОБЩЕГО ИМУЩЕСТВА СУПРУГОВ</w:t>
      </w:r>
      <w:r>
        <w:rPr>
          <w:rFonts w:ascii="Times New Roman" w:hAnsi="Times New Roman" w:cs="Times New Roman"/>
          <w:b/>
          <w:bCs/>
          <w:sz w:val="24"/>
          <w:szCs w:val="24"/>
          <w:shd w:val="clear" w:color="auto" w:fill="FFFFFF"/>
        </w:rPr>
        <w:t xml:space="preserve"> </w:t>
      </w:r>
      <w:r>
        <w:rPr>
          <w:rFonts w:ascii="Times New Roman" w:hAnsi="Times New Roman" w:cs="Times New Roman"/>
          <w:b/>
          <w:bCs/>
          <w:sz w:val="24"/>
          <w:szCs w:val="24"/>
        </w:rPr>
        <w:t>В СЕМЕЙНОМ И ГРАЖДАНСКОМ ЗАКОНОДАТЕЛЬСТВЕ</w:t>
      </w:r>
    </w:p>
    <w:p w14:paraId="051F40D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hAnsi="Times New Roman" w:cs="Times New Roman"/>
          <w:b/>
          <w:bCs/>
          <w:sz w:val="24"/>
          <w:szCs w:val="24"/>
        </w:rPr>
      </w:pPr>
    </w:p>
    <w:p w14:paraId="1B0617D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hAnsi="Times New Roman" w:cs="Times New Roman"/>
          <w:b/>
          <w:bCs/>
          <w:sz w:val="24"/>
          <w:szCs w:val="24"/>
          <w:lang w:val="en-US"/>
        </w:rPr>
      </w:pPr>
      <w:r>
        <w:rPr>
          <w:rFonts w:ascii="Times New Roman" w:hAnsi="Times New Roman" w:cs="Times New Roman"/>
          <w:b/>
          <w:bCs/>
          <w:sz w:val="24"/>
          <w:szCs w:val="24"/>
          <w:lang w:val="en-US"/>
        </w:rPr>
        <w:t>CONFLICTS IN FAMILY RELATIONS RELATED TO THE DIVISION OF COMMON PROPERTY OF SPOUSES IN FAMILY AND CIVIL LEGISLATION</w:t>
      </w:r>
    </w:p>
    <w:p w14:paraId="53CDA0B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lang w:val="en-US"/>
        </w:rPr>
      </w:pPr>
    </w:p>
    <w:p w14:paraId="129B983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i/>
          <w:sz w:val="24"/>
          <w:szCs w:val="24"/>
        </w:rPr>
        <w:t>Аннотация</w:t>
      </w:r>
      <w:r>
        <w:rPr>
          <w:rFonts w:ascii="Times New Roman" w:hAnsi="Times New Roman" w:cs="Times New Roman"/>
          <w:sz w:val="24"/>
          <w:szCs w:val="24"/>
        </w:rPr>
        <w:t>: В данной статье рассматривается проблема раздела общего имущества супругов, возникающая в нотариальной и судебной практике. Автор обращает внимание на правовую природу договора о разделе общего имущества супругов, которая определяет выбор коллизионных норм, а, следовательно, и компетентного права. В статье анализируются нормы семейного и гражданского законодательства, определяющие форму такого соглашения. Раскрыты проблемы судебной практики применения норм о разделе общего имущества супругов по определению компетентного суда и права.</w:t>
      </w:r>
    </w:p>
    <w:p w14:paraId="762B935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i/>
          <w:sz w:val="24"/>
          <w:szCs w:val="24"/>
        </w:rPr>
        <w:t>Ключевые слова</w:t>
      </w:r>
      <w:r>
        <w:rPr>
          <w:rFonts w:ascii="Times New Roman" w:hAnsi="Times New Roman" w:cs="Times New Roman"/>
          <w:sz w:val="24"/>
          <w:szCs w:val="24"/>
        </w:rPr>
        <w:t>: брачно-семейные отношения; брак; коллизии; международное частное право; унификация норм; иностранный элемент; коллизионные и материальные нормы; иностранный элемент.</w:t>
      </w:r>
    </w:p>
    <w:p w14:paraId="00BFE87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lang w:val="en-US"/>
        </w:rPr>
      </w:pPr>
      <w:r>
        <w:rPr>
          <w:rFonts w:ascii="Times New Roman" w:hAnsi="Times New Roman" w:cs="Times New Roman"/>
          <w:i/>
          <w:sz w:val="24"/>
          <w:szCs w:val="24"/>
          <w:lang w:val="en-US"/>
        </w:rPr>
        <w:t>Annotation</w:t>
      </w:r>
      <w:r>
        <w:rPr>
          <w:rFonts w:ascii="Times New Roman" w:hAnsi="Times New Roman" w:cs="Times New Roman"/>
          <w:sz w:val="24"/>
          <w:szCs w:val="24"/>
          <w:lang w:val="en-US"/>
        </w:rPr>
        <w:t>: This article deals with the problem of dividing the common property of spouses, which occurs in notary and judicial practice. The author draws attention to the legal nature of the agreement on the division of common property of spouses, which determines the choice of conflict of laws rules, and, consequently, the competent law. The article analyzes the norms of family and civil legislation that determine the form of such an agreement. The problems of judicial practice of applying the rules on the division of common property of spouses as determined by the competent court and law are revealed.</w:t>
      </w:r>
    </w:p>
    <w:p w14:paraId="5D44F25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lang w:val="en-US"/>
        </w:rPr>
      </w:pPr>
      <w:r>
        <w:rPr>
          <w:rFonts w:ascii="Times New Roman" w:hAnsi="Times New Roman" w:cs="Times New Roman"/>
          <w:i/>
          <w:sz w:val="24"/>
          <w:szCs w:val="24"/>
          <w:lang w:val="en-US"/>
        </w:rPr>
        <w:t>Keywords</w:t>
      </w:r>
      <w:r>
        <w:rPr>
          <w:rFonts w:ascii="Times New Roman" w:hAnsi="Times New Roman" w:cs="Times New Roman"/>
          <w:sz w:val="24"/>
          <w:szCs w:val="24"/>
          <w:lang w:val="en-US"/>
        </w:rPr>
        <w:t>: marriage and family relations; marriage; conflicts; private international law; unification of norms; foreign element; conflict and material norms; foreign element.</w:t>
      </w:r>
    </w:p>
    <w:p w14:paraId="3911014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lang w:val="en-US"/>
        </w:rPr>
      </w:pPr>
    </w:p>
    <w:p w14:paraId="5C6A6BF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Брачно-семейные отношения в международном частном праве определяются как имущественные и личные неимущественные отношения, основанные на родственных связях и осложненные иностранным элементом. Трансформация брачно-семейных отношений в современной России требует адекватного правового регулирования семейных отношений</w:t>
      </w:r>
      <w:r>
        <w:rPr>
          <w:rStyle w:val="a7"/>
          <w:rFonts w:ascii="Times New Roman" w:hAnsi="Times New Roman" w:cs="Times New Roman"/>
          <w:sz w:val="24"/>
          <w:szCs w:val="24"/>
        </w:rPr>
        <w:footnoteReference w:id="306"/>
      </w:r>
      <w:r>
        <w:rPr>
          <w:rFonts w:ascii="Times New Roman" w:hAnsi="Times New Roman" w:cs="Times New Roman"/>
          <w:sz w:val="24"/>
          <w:szCs w:val="24"/>
        </w:rPr>
        <w:t>.</w:t>
      </w:r>
    </w:p>
    <w:p w14:paraId="79BCA98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Особую озабоченность вызывает применение нотариусами и судами материальных и коллизионных норм о разделе общего имущества супругов. Нотариальная практика иногда игнорирует коллизионные предписания внутреннего законодательства и международных договоров, которые подчиняют имущественные отношения супругов праву конкретного государства.</w:t>
      </w:r>
    </w:p>
    <w:p w14:paraId="55C0DF8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соответствии с пунктом 2 статьи 38 Семейного кодекса Российской Федерации (далее - СК РФ) имущество супругов может быть разделено между ними по соглашению сторон</w:t>
      </w:r>
      <w:r>
        <w:rPr>
          <w:rStyle w:val="a7"/>
          <w:rFonts w:ascii="Times New Roman" w:hAnsi="Times New Roman" w:cs="Times New Roman"/>
          <w:sz w:val="24"/>
          <w:szCs w:val="24"/>
        </w:rPr>
        <w:footnoteReference w:id="307"/>
      </w:r>
      <w:r>
        <w:rPr>
          <w:rFonts w:ascii="Times New Roman" w:hAnsi="Times New Roman" w:cs="Times New Roman"/>
          <w:sz w:val="24"/>
          <w:szCs w:val="24"/>
        </w:rPr>
        <w:t>. Природа этого договора представлена в юридической литературе двумя подходами: семейным договором и гражданско-правовым договором. В то же время преобладают мнения, указывающие на семейно-правовую природу такого соглашения. Использование того или иного подхода имеет решающее значение для определения применимых коллизионных норм и компетентного права.</w:t>
      </w:r>
    </w:p>
    <w:p w14:paraId="634D554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Квалификация соглашения о разделе имущества супругов как семейно-правового договора приводит к применению норм статьи 161 СК РФ, которая устанавливает, что личные неимущественные и имущественные права и обязанности супругов определяются законами государства, на территории которого они имеют совместное место жительства, а при отсутствии совместного места жительства-законом государства, на территории которого они имели последнее совместное место жительства. Личные неимущественные и имущественные права и обязанности супругов, не имевших совместного места жительства, определяются на территории Российской Федерации законодательством Российской Федерации.</w:t>
      </w:r>
    </w:p>
    <w:p w14:paraId="28CD66F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Напротив, гражданско-правовая природа соглашения о разделе общего имущества требует применения к нему коллизионных норм Гражданского кодекса Российской Федерации (далее – ГК РФ). Согласно статье 1210 ГК РФ стороны договора при его заключении или позднее могут по соглашению между собой выбрать право, который будет применяться к их правам и обязанностям</w:t>
      </w:r>
      <w:r>
        <w:rPr>
          <w:rStyle w:val="a7"/>
          <w:rFonts w:ascii="Times New Roman" w:hAnsi="Times New Roman" w:cs="Times New Roman"/>
          <w:sz w:val="24"/>
          <w:szCs w:val="24"/>
        </w:rPr>
        <w:footnoteReference w:id="308"/>
      </w:r>
      <w:r>
        <w:rPr>
          <w:rFonts w:ascii="Times New Roman" w:hAnsi="Times New Roman" w:cs="Times New Roman"/>
          <w:sz w:val="24"/>
          <w:szCs w:val="24"/>
        </w:rPr>
        <w:t>. Применение данной нормы вполне согласуется с тезисом о гражданско-правовой природе соглашения о разделе имущества супругов, а также соответствует тенденции расширения сферы договорного регулирования семейных отношений. Но рассуждения о применимом праве неизменно приводят к проблеме выбора компетентного правового порядка в том случае, когда стороны договора не использовали вышеуказанную норму. Здесь сторонники применения норм гражданского права будут разочарованы, поскольку при отсутствии соглашения сторон о должном применении права к договору применяется право... стороны, которая осуществляет исполнение, имеющее решающее значение для содержания договора. Заметим, что данной стороны в рассматриваемом соглашении нет, и правило статьи 1211 ГК РФ не распространяется на соглашение супругов о разделе общего имущества</w:t>
      </w:r>
      <w:r>
        <w:rPr>
          <w:rStyle w:val="a7"/>
          <w:rFonts w:ascii="Times New Roman" w:hAnsi="Times New Roman" w:cs="Times New Roman"/>
          <w:sz w:val="24"/>
          <w:szCs w:val="24"/>
        </w:rPr>
        <w:footnoteReference w:id="309"/>
      </w:r>
      <w:r>
        <w:rPr>
          <w:rFonts w:ascii="Times New Roman" w:hAnsi="Times New Roman" w:cs="Times New Roman"/>
          <w:sz w:val="24"/>
          <w:szCs w:val="24"/>
        </w:rPr>
        <w:t>.</w:t>
      </w:r>
    </w:p>
    <w:p w14:paraId="6AF3502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Верховный Суд Российской Федерации обратил внимание на необходимость применения коллизионных норм СК РФ к имущественным отношениям супругов. В гражданском деле по иску Деревянко Е. О. К Устиновой Л. Б. о признании права собственности: «в постановлениях апелляционного суда говорится, что при определении права, подлежащего применению к этим правоотношениям, необходимо руководствоваться российским законодательством, а именно положениями пункта 1 статьи 1205 ... нормы ГК РФ, являются несостоятельными, так как в данном случае спор возникает из семейных правоотношений.</w:t>
      </w:r>
      <w:r>
        <w:rPr>
          <w:rFonts w:ascii="Times New Roman" w:eastAsia="Calibri" w:hAnsi="Times New Roman" w:cs="Times New Roman"/>
          <w:sz w:val="24"/>
          <w:szCs w:val="24"/>
        </w:rPr>
        <w:t xml:space="preserve"> </w:t>
      </w:r>
      <w:r>
        <w:rPr>
          <w:rFonts w:ascii="Times New Roman" w:hAnsi="Times New Roman" w:cs="Times New Roman"/>
          <w:sz w:val="24"/>
          <w:szCs w:val="24"/>
        </w:rPr>
        <w:t xml:space="preserve">Очевидно, что потенциальными «потребителями» ст. 161 СК РФ являются супруги, имеющие (имевшие) место жительства на территории Российской Федерации. Именно к их имущественным отношениям будут применяться материальные и коллизионные </w:t>
      </w:r>
      <w:r>
        <w:rPr>
          <w:rFonts w:ascii="Times New Roman" w:hAnsi="Times New Roman" w:cs="Times New Roman"/>
          <w:sz w:val="24"/>
          <w:szCs w:val="24"/>
        </w:rPr>
        <w:lastRenderedPageBreak/>
        <w:t>нормы российского семейного права. Трудно представить себе ситуацию, при которой иностранные супруги, не имеющие места жительства в Российской Федерации, будут делить здесь свое общее имущество, хотя это и не может быть полностью исключено. В то же время у супруга российского гражданина, состоящего в браке с иностранцем и проживающего за пределами территории Российской Федерации, необходимость раздела имущества, находящегося в России, весьма вероятна. Как известно, реализовать его можно, заключив соглашение или разделив имущество в судебном порядке</w:t>
      </w:r>
      <w:r>
        <w:rPr>
          <w:rStyle w:val="a7"/>
          <w:rFonts w:ascii="Times New Roman" w:hAnsi="Times New Roman" w:cs="Times New Roman"/>
          <w:sz w:val="24"/>
          <w:szCs w:val="24"/>
        </w:rPr>
        <w:footnoteReference w:id="310"/>
      </w:r>
      <w:r>
        <w:rPr>
          <w:rFonts w:ascii="Times New Roman" w:hAnsi="Times New Roman" w:cs="Times New Roman"/>
          <w:sz w:val="24"/>
          <w:szCs w:val="24"/>
        </w:rPr>
        <w:t>.</w:t>
      </w:r>
    </w:p>
    <w:p w14:paraId="13575DF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Положения пункта 1 статьи 161 СК РФ не применяются, если международным договором предусмотрено иное. В то же время большинство соглашений о правовой помощи основаны на принципах проживания или гражданства супругов, например, соглашения Российской Федерации с Болгарией, Литвой, Молдовой и Чешской Республикой. А небольшая их часть - от места нахождения имущества - с Египтом, Кубой, Латвией, Монголией.</w:t>
      </w:r>
    </w:p>
    <w:p w14:paraId="19BB6B4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Нотариальное удостоверение соглашения о разделе имущества супругов, в котором участвует иностранный гражданин или лицо без гражданства, требует пристального внимания нотариуса к его условиям. Несмотря на отсутствие в семейном законодательстве положений, определяющих соглашение, следует признать, что необходимо достичь соглашения о предмете и способах раздела общего имущества. При отсутствии таких условий соглашение не заключается. Рассмотрим пример, истец подал иск, который обязывает супруга (ответчика) передать право собственности на имущество и признать право единоличного владения отдельными объектами. В ходе рассмотрения дела стороны квалифицировали имевший место соглашение, заверенный нотариальной конторой КНР, как брачный договор (истец), соглашение о разделе имущества (ответчик). Решением районного суда в иске был отказано. Суд сделал вывод, что соглашение об определении режима совместной собственности, на которое распространяется законодательство Российской Федерации, а именно нормам СК РФ о брачном договоре и ГК РФ о договоре в пользу третьего лица является незаключенным</w:t>
      </w:r>
      <w:r>
        <w:rPr>
          <w:rStyle w:val="a7"/>
          <w:rFonts w:ascii="Times New Roman" w:hAnsi="Times New Roman" w:cs="Times New Roman"/>
          <w:sz w:val="24"/>
          <w:szCs w:val="24"/>
        </w:rPr>
        <w:footnoteReference w:id="311"/>
      </w:r>
      <w:r>
        <w:rPr>
          <w:rFonts w:ascii="Times New Roman" w:hAnsi="Times New Roman" w:cs="Times New Roman"/>
          <w:sz w:val="24"/>
          <w:szCs w:val="24"/>
        </w:rPr>
        <w:t xml:space="preserve">. </w:t>
      </w:r>
    </w:p>
    <w:p w14:paraId="460F20E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Одним из условий соглашения, заключенного супругами, может быть условие о применимом праве. Действующая редакция пункта 2 статьи 161 СК РФ допускает такой выбор только сторонами брачного договора или соглашения об уплате алиментов, при условии, что супруги не имеют общего гражданства или совместного местожительства. Выбор компетентного права, применимого к соглашению о разделе имущества, хотелось бы реализовать механизм восполнения пробелов в семейном праве, закрепленный в статье 4 СК РФ. Она допускает применение гражданского права к семейным отношениям. Однако это возможно только в том случае, если семейные отношения не регулируются семейным правом и применение норм гражданского законодательства не противоречит сущности семейных отношений. В данном случае имущественные отношения супругов регулируются так, что не позволяет распространить норму пункта 2 статьи 161 СК РФ на соглашение о разделе имущества супругов</w:t>
      </w:r>
      <w:r>
        <w:rPr>
          <w:rStyle w:val="a7"/>
          <w:rFonts w:ascii="Times New Roman" w:eastAsia="Calibri" w:hAnsi="Times New Roman" w:cs="Times New Roman"/>
          <w:sz w:val="24"/>
          <w:szCs w:val="24"/>
        </w:rPr>
        <w:footnoteReference w:id="312"/>
      </w:r>
      <w:r>
        <w:rPr>
          <w:rFonts w:ascii="Times New Roman" w:eastAsia="Calibri" w:hAnsi="Times New Roman" w:cs="Times New Roman"/>
          <w:sz w:val="24"/>
          <w:szCs w:val="24"/>
        </w:rPr>
        <w:t>.</w:t>
      </w:r>
    </w:p>
    <w:p w14:paraId="4D6E8B9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Отсутствие такой возможности для супругов является недостатком нормативного регулирования и должно быть восполнено законодателем. Естественно, что выбор сторонами иностранного права потребует более глубокого изучения его условий, объяснения сторонам последствий выбранного иностранного права. При этом коллизионная норма пункта 2 статьи 161 СК РФ будет соответствовать статье 104 Закона о нотариате РФ, что нотариус в соответствии с законодательством Российской Федерации, международными договорами Российской Федерации применяет нормы иностранного права</w:t>
      </w:r>
      <w:r>
        <w:rPr>
          <w:rStyle w:val="a7"/>
          <w:rFonts w:ascii="Times New Roman" w:eastAsia="Calibri" w:hAnsi="Times New Roman" w:cs="Times New Roman"/>
          <w:sz w:val="24"/>
          <w:szCs w:val="24"/>
        </w:rPr>
        <w:footnoteReference w:id="313"/>
      </w:r>
      <w:r>
        <w:rPr>
          <w:rFonts w:ascii="Times New Roman" w:eastAsia="Calibri" w:hAnsi="Times New Roman" w:cs="Times New Roman"/>
          <w:sz w:val="24"/>
          <w:szCs w:val="24"/>
        </w:rPr>
        <w:t>.</w:t>
      </w:r>
    </w:p>
    <w:p w14:paraId="24EE373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lastRenderedPageBreak/>
        <w:t>Как известно, еще в 2015 году статья 38 СК РФ была дополнена нормой об обязательном нотариальном удостоверении соглашения о разделе общего имущества, приобретенного супругами в период брака. Это правило распространяется как на российских граждан, так и на иностранцев. В то же время раздел VII СК РФ не содержит специальных положений о форме семейных соглашений. В соответствии с пунктом 1 статьи 1209 ГК РФ форма сделки регулируется законодательством страны, подлежащей применению к самой сделке. Однако сделка не может быть признана недействительной из-за несоблюдения формы, если соблюдены требования законодательства страны, в которой была совершена сделка, к форме сделки. Это правило не создает коллизии норм, поэтому нотариально заверенное соглашение возможно в том случае, если супруги не имеют места жительства в Российской Федерации на момент обращения к российскому нотариусу. Такое соглашение не является недействительным с точки зрения его формы и требований, предъявляемых к нему российским законодательством, а также в том случае, когда стороны выбрали право, подлежащий применению к самому соглашению</w:t>
      </w:r>
      <w:r>
        <w:rPr>
          <w:rStyle w:val="a7"/>
          <w:rFonts w:ascii="Times New Roman" w:eastAsia="Calibri" w:hAnsi="Times New Roman" w:cs="Times New Roman"/>
          <w:sz w:val="24"/>
          <w:szCs w:val="24"/>
        </w:rPr>
        <w:footnoteReference w:id="314"/>
      </w:r>
      <w:r>
        <w:rPr>
          <w:rFonts w:ascii="Times New Roman" w:eastAsia="Calibri" w:hAnsi="Times New Roman" w:cs="Times New Roman"/>
          <w:sz w:val="24"/>
          <w:szCs w:val="24"/>
        </w:rPr>
        <w:t>.</w:t>
      </w:r>
    </w:p>
    <w:p w14:paraId="61C8E92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Отметим, что российское процессуальное законодательство не содержит специальных норм о компетенции иностранных судов разрешать такие споры. Международные соглашения - представляют собой исключение. При отсутствии международного соглашения применяются правила подсудности, установленные гражданским процессуальным кодексом Российской Федерации (далее - ГПК РФ). Так, Петрова обратилась в суд с иском к Петрову о разделе совместно нажитого имущества, находящегося как на территории Российской Федерации, так и за рубежом (в Республике Сингапур и в Республике Франция). Решением суда первой инстанции в иске Петровой было отказано. В последующем определении, а также в определении апелляционной инстанции, вернувшем иск Петровой, разъяснялось, что истец вправе обратиться с этими требованиями в компетентный суд по месту нахождения движимого и недвижимого имущества. Верховный Суд Российской Федерации признал практику возврата таких исковых заявлений существенным нарушением норм процессуального законодательства и отметил: «ГПК РФ не относит требование о разделе совместно нажитого имущества супругов (граждан Российской Федерации), находящегося на территории иностранных государств, к исключительной компетенции иностранных судов, в связи, с чем указанные требования подчиняются общим правилам подсудности, установленным главой 3 ГПК РФ</w:t>
      </w:r>
      <w:r>
        <w:rPr>
          <w:rStyle w:val="a7"/>
          <w:rFonts w:ascii="Times New Roman" w:eastAsia="Calibri" w:hAnsi="Times New Roman" w:cs="Times New Roman"/>
          <w:sz w:val="24"/>
          <w:szCs w:val="24"/>
        </w:rPr>
        <w:footnoteReference w:id="315"/>
      </w:r>
      <w:r>
        <w:rPr>
          <w:rFonts w:ascii="Times New Roman" w:eastAsia="Calibri" w:hAnsi="Times New Roman" w:cs="Times New Roman"/>
          <w:sz w:val="24"/>
          <w:szCs w:val="24"/>
        </w:rPr>
        <w:t>. Такие иски подлежат рассмотрению судами общей юрисдикции Российской Федерации, если иное не предусмотрено международным договором».</w:t>
      </w:r>
    </w:p>
    <w:p w14:paraId="73A59BD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Вопрос о применимом праве решается на основе коллизионных норм СК РФ, а также международных договоров с участием Российской Федерации. Российские суды демонстрируют явную тенденцию разрешать споры между супругами по поводу раздела имущества на основе российского права, зачастую игнорируя применимые коллизионные нормы.</w:t>
      </w:r>
    </w:p>
    <w:p w14:paraId="3359628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В вышеуказанных постановлениях Верховного Суда Российской Федерации спор о разделе общего имущества возник между супругами-гражданами Российской Федерации, местом жительства которых является Россия. Суды всех уровней правильно определили его состав, исходя из норм СК РФ. В то же время ссылка на статью 161 СК РФ является излишней. Раздел VII СК РФ адресован супругам, один из которых является иностранцем. По-видимому, нет никакой необходимости разрешать коллизионный вопрос там, где его нет. Существующее правоприменительное решение приводит к механическому воспроизведению судами статьи </w:t>
      </w:r>
      <w:r>
        <w:rPr>
          <w:rFonts w:ascii="Times New Roman" w:eastAsia="Calibri" w:hAnsi="Times New Roman" w:cs="Times New Roman"/>
          <w:sz w:val="24"/>
          <w:szCs w:val="24"/>
        </w:rPr>
        <w:lastRenderedPageBreak/>
        <w:t>161 СК РФ в тексте судебного акта, а иногда и к применению норм российского права вопреки коллизионным нормам.</w:t>
      </w:r>
    </w:p>
    <w:p w14:paraId="0726790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Таким образом, обобщая все вышесказанное, можно сделать вывод о том, соглашение о разделе общего имущества супругов, являясь семейно-правовым договором, подчиняется коллизионным нормам семейного законодательства Российской Федерации и международным договорам. Эти правила должны быть приняты во внимание при нотариальном удостоверении документа. Выбор супругов применимого права к такому соглашению в СК РФ не закреплен. Это затрудняет включение таких условий в текст таких соглашений. Суды общей юрисдикции Российской Федерации правомочны рассматривать иски о разделе общего имущества супругов, в том числе объектов, находящихся за рубежом, если иное не предусмотрено международным договором. Применение судами коллизионных норм в спорах о разделе общего имущества супругов-граждан Российской Федерации является чрезмерным.</w:t>
      </w:r>
    </w:p>
    <w:p w14:paraId="69FE48D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textAlignment w:val="top"/>
        <w:rPr>
          <w:rFonts w:ascii="Times New Roman" w:hAnsi="Times New Roman" w:cs="Times New Roman"/>
          <w:b/>
          <w:sz w:val="24"/>
          <w:szCs w:val="24"/>
        </w:rPr>
      </w:pPr>
    </w:p>
    <w:p w14:paraId="5B3DB35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textAlignment w:val="top"/>
        <w:rPr>
          <w:rFonts w:ascii="Times New Roman" w:hAnsi="Times New Roman" w:cs="Times New Roman"/>
          <w:b/>
          <w:sz w:val="24"/>
          <w:szCs w:val="24"/>
        </w:rPr>
      </w:pPr>
      <w:r>
        <w:rPr>
          <w:rFonts w:ascii="Times New Roman" w:hAnsi="Times New Roman" w:cs="Times New Roman"/>
          <w:b/>
          <w:sz w:val="24"/>
          <w:szCs w:val="24"/>
        </w:rPr>
        <w:t>Библиографический список</w:t>
      </w:r>
    </w:p>
    <w:p w14:paraId="6915791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textAlignment w:val="top"/>
        <w:rPr>
          <w:rFonts w:ascii="Times New Roman" w:hAnsi="Times New Roman" w:cs="Times New Roman"/>
          <w:sz w:val="24"/>
          <w:szCs w:val="24"/>
        </w:rPr>
      </w:pPr>
    </w:p>
    <w:p w14:paraId="77D2CCC1" w14:textId="77777777" w:rsidR="001B6C3B" w:rsidRDefault="001B6C3B" w:rsidP="00E3198A">
      <w:pPr>
        <w:pStyle w:val="a4"/>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Войтович Е.П. Коллизионное регулирование имущественных отношений супругов в Российской Федерации / Е.П. Войтович, Н.Ю. Чернусь // Семейное и жилищное право.- 2018.- № 2. -С. 7 – 11.</w:t>
      </w:r>
    </w:p>
    <w:p w14:paraId="6D05F5CE" w14:textId="77777777" w:rsidR="001B6C3B" w:rsidRDefault="001B6C3B" w:rsidP="00E3198A">
      <w:pPr>
        <w:pStyle w:val="a4"/>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Войтович Е.П. Правовое регулирование семейных отношений с участием иностранцев в Российской Федерации: итоги и перспективы / Е.П. Войтович // Актуальные проблемы российского права.- 2017.- № 5(78).- С. 137 – 141.</w:t>
      </w:r>
    </w:p>
    <w:p w14:paraId="18B3DD0B" w14:textId="77777777" w:rsidR="001B6C3B" w:rsidRDefault="001B6C3B" w:rsidP="00E3198A">
      <w:pPr>
        <w:pStyle w:val="a4"/>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Кудрявцева Л.В. Сущность гражданско-правового договора как института правового регулирования трудовых отношений, осложненных иностранным элементом. //Пробелы в российском законодательстве. - 2011. - №3. - С.96.</w:t>
      </w:r>
    </w:p>
    <w:p w14:paraId="4733B68D" w14:textId="77777777" w:rsidR="001B6C3B" w:rsidRDefault="001B6C3B" w:rsidP="00E3198A">
      <w:pPr>
        <w:pStyle w:val="a4"/>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Кудрявцева Л.В., Шевченко В.С. Члены семьи собственника жилого помещения: проблемы теории и практики. //Международное научное издание. Современные фундаментальные и прикладные исследования. 2017. №2— 1 (25). - С.146.</w:t>
      </w:r>
    </w:p>
    <w:p w14:paraId="25EF2AF9" w14:textId="77777777" w:rsidR="001B6C3B" w:rsidRDefault="001B6C3B" w:rsidP="00E3198A">
      <w:pPr>
        <w:pStyle w:val="a4"/>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Матвеева Н.А. Нотариальное удостоверение соглашения о разделе общего совместного имущества супругов / Н.А. Матвеева // Нотариус.- 2016.- № 5.- С. 20 – 21.</w:t>
      </w:r>
    </w:p>
    <w:p w14:paraId="63504D93" w14:textId="77777777" w:rsidR="001B6C3B" w:rsidRDefault="001B6C3B" w:rsidP="00E3198A">
      <w:pPr>
        <w:pStyle w:val="a4"/>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Моисеева Т. М. Совместная собственность супругов и (или) общее имущество супругов: анализ современного семейного и гражданского законодательства // Актуальные проблемы российского права. – 2017. - № 11. – С. 45-52.</w:t>
      </w:r>
    </w:p>
    <w:p w14:paraId="1ABCE64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sectPr w:rsidR="001B6C3B">
          <w:footnotePr>
            <w:numRestart w:val="eachPage"/>
          </w:footnotePr>
          <w:type w:val="continuous"/>
          <w:pgSz w:w="11906" w:h="16838"/>
          <w:pgMar w:top="1134" w:right="1134" w:bottom="1134" w:left="1134" w:header="708" w:footer="708" w:gutter="0"/>
          <w:cols w:space="720"/>
        </w:sectPr>
      </w:pPr>
    </w:p>
    <w:p w14:paraId="5BDC195F" w14:textId="77777777" w:rsidR="001B6C3B" w:rsidRDefault="001B6C3B" w:rsidP="001B6C3B">
      <w:pPr>
        <w:pStyle w:val="a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709"/>
        <w:jc w:val="both"/>
        <w:rPr>
          <w:rFonts w:ascii="Times New Roman" w:hAnsi="Times New Roman" w:cs="Times New Roman"/>
        </w:rPr>
      </w:pPr>
    </w:p>
    <w:p w14:paraId="25C645F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395"/>
        <w:jc w:val="both"/>
        <w:rPr>
          <w:rFonts w:ascii="Times New Roman" w:hAnsi="Times New Roman" w:cs="Times New Roman"/>
          <w:b/>
          <w:bCs/>
          <w:sz w:val="24"/>
          <w:szCs w:val="24"/>
        </w:rPr>
      </w:pPr>
      <w:r>
        <w:rPr>
          <w:rFonts w:ascii="Times New Roman" w:hAnsi="Times New Roman" w:cs="Times New Roman"/>
          <w:b/>
          <w:bCs/>
          <w:sz w:val="24"/>
          <w:szCs w:val="24"/>
        </w:rPr>
        <w:t>УДК 347.7</w:t>
      </w:r>
    </w:p>
    <w:p w14:paraId="42765F7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395"/>
        <w:jc w:val="both"/>
        <w:rPr>
          <w:rFonts w:ascii="Times New Roman" w:hAnsi="Times New Roman" w:cs="Times New Roman"/>
          <w:b/>
          <w:bCs/>
          <w:sz w:val="24"/>
          <w:szCs w:val="24"/>
        </w:rPr>
      </w:pPr>
      <w:r>
        <w:rPr>
          <w:rFonts w:ascii="Times New Roman" w:hAnsi="Times New Roman" w:cs="Times New Roman"/>
          <w:b/>
          <w:bCs/>
          <w:sz w:val="24"/>
          <w:szCs w:val="24"/>
        </w:rPr>
        <w:t>Серая Наталья Александровна</w:t>
      </w:r>
    </w:p>
    <w:p w14:paraId="5238DFB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395"/>
        <w:jc w:val="both"/>
        <w:rPr>
          <w:rFonts w:ascii="Times New Roman" w:hAnsi="Times New Roman" w:cs="Times New Roman"/>
          <w:b/>
          <w:bCs/>
          <w:sz w:val="24"/>
          <w:szCs w:val="24"/>
        </w:rPr>
      </w:pPr>
      <w:r>
        <w:rPr>
          <w:rFonts w:ascii="Times New Roman" w:hAnsi="Times New Roman" w:cs="Times New Roman"/>
          <w:b/>
          <w:bCs/>
          <w:sz w:val="24"/>
          <w:szCs w:val="24"/>
        </w:rPr>
        <w:t>Seraia Natalia Alexandrovna</w:t>
      </w:r>
    </w:p>
    <w:p w14:paraId="6AEB9C5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395"/>
        <w:jc w:val="both"/>
        <w:rPr>
          <w:rFonts w:ascii="Times New Roman" w:hAnsi="Times New Roman" w:cs="Times New Roman"/>
          <w:b/>
          <w:bCs/>
          <w:sz w:val="24"/>
          <w:szCs w:val="24"/>
        </w:rPr>
      </w:pPr>
    </w:p>
    <w:p w14:paraId="6BD9912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395"/>
        <w:jc w:val="both"/>
        <w:rPr>
          <w:rFonts w:ascii="Times New Roman" w:hAnsi="Times New Roman" w:cs="Times New Roman"/>
          <w:sz w:val="24"/>
          <w:szCs w:val="24"/>
        </w:rPr>
      </w:pPr>
      <w:r>
        <w:rPr>
          <w:rFonts w:ascii="Times New Roman" w:hAnsi="Times New Roman" w:cs="Times New Roman"/>
          <w:sz w:val="24"/>
          <w:szCs w:val="24"/>
        </w:rPr>
        <w:t>аспирант Федеральное государственное бюджетное образовательное учреждение высшего образования «Кубанский государственный аграрный университет имени И. Т. Трубилина»</w:t>
      </w:r>
    </w:p>
    <w:p w14:paraId="14A2F74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395"/>
        <w:jc w:val="both"/>
        <w:rPr>
          <w:rFonts w:ascii="Times New Roman" w:hAnsi="Times New Roman" w:cs="Times New Roman"/>
          <w:sz w:val="24"/>
          <w:szCs w:val="24"/>
          <w:lang w:val="en-US"/>
        </w:rPr>
      </w:pPr>
      <w:r>
        <w:rPr>
          <w:rFonts w:ascii="Times New Roman" w:hAnsi="Times New Roman" w:cs="Times New Roman"/>
          <w:sz w:val="24"/>
          <w:szCs w:val="24"/>
          <w:lang w:val="en-US"/>
        </w:rPr>
        <w:t>Federal State Budgetary Educational Institution of Higher Education</w:t>
      </w:r>
    </w:p>
    <w:p w14:paraId="4AF49AA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395"/>
        <w:jc w:val="both"/>
        <w:rPr>
          <w:rFonts w:ascii="Times New Roman" w:hAnsi="Times New Roman" w:cs="Times New Roman"/>
          <w:sz w:val="24"/>
          <w:szCs w:val="24"/>
          <w:lang w:val="en-US"/>
        </w:rPr>
      </w:pPr>
      <w:r>
        <w:rPr>
          <w:rFonts w:ascii="Times New Roman" w:hAnsi="Times New Roman" w:cs="Times New Roman"/>
          <w:sz w:val="24"/>
          <w:szCs w:val="24"/>
          <w:lang w:val="en-US"/>
        </w:rPr>
        <w:t>“Kuban State Agrarian University named after I.T. Trubilin”</w:t>
      </w:r>
    </w:p>
    <w:p w14:paraId="24DF012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395"/>
        <w:jc w:val="both"/>
        <w:rPr>
          <w:rFonts w:ascii="Times New Roman" w:hAnsi="Times New Roman" w:cs="Times New Roman"/>
          <w:sz w:val="24"/>
          <w:szCs w:val="24"/>
        </w:rPr>
      </w:pPr>
      <w:r>
        <w:rPr>
          <w:rFonts w:ascii="Times New Roman" w:hAnsi="Times New Roman" w:cs="Times New Roman"/>
          <w:sz w:val="24"/>
          <w:szCs w:val="24"/>
        </w:rPr>
        <w:t xml:space="preserve">Российская Федерация, г. Краснодар </w:t>
      </w:r>
    </w:p>
    <w:p w14:paraId="1A3BAC8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395"/>
        <w:jc w:val="both"/>
        <w:rPr>
          <w:rFonts w:ascii="Times New Roman" w:hAnsi="Times New Roman" w:cs="Times New Roman"/>
          <w:sz w:val="24"/>
          <w:szCs w:val="24"/>
        </w:rPr>
      </w:pPr>
      <w:r>
        <w:rPr>
          <w:rFonts w:ascii="Times New Roman" w:hAnsi="Times New Roman" w:cs="Times New Roman"/>
          <w:sz w:val="24"/>
          <w:szCs w:val="24"/>
        </w:rPr>
        <w:t>Russia</w:t>
      </w:r>
      <w:r>
        <w:rPr>
          <w:rFonts w:ascii="Times New Roman" w:hAnsi="Times New Roman" w:cs="Times New Roman"/>
          <w:sz w:val="24"/>
          <w:szCs w:val="24"/>
          <w:lang w:val="en-US"/>
        </w:rPr>
        <w:t>n</w:t>
      </w:r>
      <w:r w:rsidRPr="00430C1C">
        <w:rPr>
          <w:rFonts w:ascii="Times New Roman" w:hAnsi="Times New Roman" w:cs="Times New Roman"/>
          <w:sz w:val="24"/>
          <w:szCs w:val="24"/>
        </w:rPr>
        <w:t xml:space="preserve"> </w:t>
      </w:r>
      <w:r>
        <w:rPr>
          <w:rFonts w:ascii="Times New Roman" w:hAnsi="Times New Roman" w:cs="Times New Roman"/>
          <w:sz w:val="24"/>
          <w:szCs w:val="24"/>
          <w:lang w:val="en-US"/>
        </w:rPr>
        <w:t>Federation</w:t>
      </w:r>
      <w:r>
        <w:rPr>
          <w:rFonts w:ascii="Times New Roman" w:hAnsi="Times New Roman" w:cs="Times New Roman"/>
          <w:sz w:val="24"/>
          <w:szCs w:val="24"/>
        </w:rPr>
        <w:t xml:space="preserve">, Krasnodar </w:t>
      </w:r>
    </w:p>
    <w:p w14:paraId="7E577B54" w14:textId="77777777" w:rsidR="001B6C3B" w:rsidRDefault="00EE7838"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395"/>
        <w:jc w:val="both"/>
        <w:rPr>
          <w:rFonts w:ascii="Times New Roman" w:hAnsi="Times New Roman" w:cs="Times New Roman"/>
          <w:sz w:val="24"/>
          <w:szCs w:val="24"/>
        </w:rPr>
      </w:pPr>
      <w:hyperlink r:id="rId38" w:history="1">
        <w:r w:rsidR="001B6C3B">
          <w:rPr>
            <w:rStyle w:val="a9"/>
            <w:rFonts w:ascii="Times New Roman" w:hAnsi="Times New Roman" w:cs="Times New Roman"/>
            <w:sz w:val="24"/>
            <w:szCs w:val="24"/>
          </w:rPr>
          <w:t>Leibinen@mail.ru</w:t>
        </w:r>
      </w:hyperlink>
    </w:p>
    <w:p w14:paraId="7D234B1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p>
    <w:p w14:paraId="4E056C4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p>
    <w:p w14:paraId="4117CA6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hAnsi="Times New Roman" w:cs="Times New Roman"/>
          <w:b/>
          <w:bCs/>
          <w:sz w:val="24"/>
          <w:szCs w:val="24"/>
        </w:rPr>
      </w:pPr>
      <w:r>
        <w:rPr>
          <w:rFonts w:ascii="Times New Roman" w:hAnsi="Times New Roman" w:cs="Times New Roman"/>
          <w:b/>
          <w:bCs/>
          <w:sz w:val="24"/>
          <w:szCs w:val="24"/>
        </w:rPr>
        <w:t>Пределы полномочий и компетенции органов управления</w:t>
      </w:r>
    </w:p>
    <w:p w14:paraId="48BD308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hAnsi="Times New Roman" w:cs="Times New Roman"/>
          <w:b/>
          <w:bCs/>
          <w:sz w:val="24"/>
          <w:szCs w:val="24"/>
        </w:rPr>
      </w:pPr>
      <w:r>
        <w:rPr>
          <w:rFonts w:ascii="Times New Roman" w:hAnsi="Times New Roman" w:cs="Times New Roman"/>
          <w:b/>
          <w:bCs/>
          <w:sz w:val="24"/>
          <w:szCs w:val="24"/>
        </w:rPr>
        <w:t xml:space="preserve">и специализированных органов СРО в сфере строительства при </w:t>
      </w:r>
      <w:bookmarkStart w:id="16" w:name="_Hlk36467343"/>
      <w:r>
        <w:rPr>
          <w:rFonts w:ascii="Times New Roman" w:hAnsi="Times New Roman" w:cs="Times New Roman"/>
          <w:b/>
          <w:bCs/>
          <w:sz w:val="24"/>
          <w:szCs w:val="24"/>
        </w:rPr>
        <w:t>осуществлении контроля за деятельностью своих членов</w:t>
      </w:r>
      <w:r>
        <w:rPr>
          <w:rStyle w:val="a7"/>
          <w:rFonts w:ascii="Times New Roman" w:hAnsi="Times New Roman" w:cs="Times New Roman"/>
          <w:b/>
          <w:bCs/>
          <w:sz w:val="24"/>
          <w:szCs w:val="24"/>
        </w:rPr>
        <w:footnoteReference w:customMarkFollows="1" w:id="316"/>
        <w:sym w:font="Symbol" w:char="F02A"/>
      </w:r>
    </w:p>
    <w:bookmarkEnd w:id="16"/>
    <w:p w14:paraId="1CFC8E9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hAnsi="Times New Roman" w:cs="Times New Roman"/>
          <w:b/>
          <w:bCs/>
          <w:sz w:val="24"/>
          <w:szCs w:val="24"/>
        </w:rPr>
      </w:pPr>
    </w:p>
    <w:p w14:paraId="1FF6993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hAnsi="Times New Roman" w:cs="Times New Roman"/>
          <w:b/>
          <w:bCs/>
          <w:sz w:val="24"/>
          <w:szCs w:val="24"/>
          <w:lang w:val="en-US"/>
        </w:rPr>
      </w:pPr>
      <w:r>
        <w:rPr>
          <w:rFonts w:ascii="Times New Roman" w:hAnsi="Times New Roman" w:cs="Times New Roman"/>
          <w:b/>
          <w:bCs/>
          <w:sz w:val="24"/>
          <w:szCs w:val="24"/>
          <w:lang w:val="en-US"/>
        </w:rPr>
        <w:t>Limits of authority and competence of management bodies</w:t>
      </w:r>
    </w:p>
    <w:p w14:paraId="525F7C9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hAnsi="Times New Roman" w:cs="Times New Roman"/>
          <w:b/>
          <w:bCs/>
          <w:sz w:val="24"/>
          <w:szCs w:val="24"/>
          <w:lang w:val="en-US"/>
        </w:rPr>
      </w:pPr>
      <w:r>
        <w:rPr>
          <w:rFonts w:ascii="Times New Roman" w:hAnsi="Times New Roman" w:cs="Times New Roman"/>
          <w:b/>
          <w:bCs/>
          <w:sz w:val="24"/>
          <w:szCs w:val="24"/>
          <w:lang w:val="en-US"/>
        </w:rPr>
        <w:t>And SRO specialized construction bodies in monitoring the activities of their members</w:t>
      </w:r>
    </w:p>
    <w:p w14:paraId="343C530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hAnsi="Times New Roman" w:cs="Times New Roman"/>
          <w:sz w:val="24"/>
          <w:szCs w:val="24"/>
          <w:lang w:val="en-US"/>
        </w:rPr>
      </w:pPr>
      <w:bookmarkStart w:id="17" w:name="_Hlk33810557"/>
    </w:p>
    <w:p w14:paraId="0949EBA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lang w:val="en-US"/>
        </w:rPr>
      </w:pPr>
    </w:p>
    <w:bookmarkEnd w:id="17"/>
    <w:p w14:paraId="73E2B47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i/>
          <w:iCs/>
          <w:sz w:val="24"/>
          <w:szCs w:val="24"/>
        </w:rPr>
        <w:t xml:space="preserve">Аннотация: </w:t>
      </w:r>
      <w:r>
        <w:rPr>
          <w:rFonts w:ascii="Times New Roman" w:hAnsi="Times New Roman" w:cs="Times New Roman"/>
          <w:sz w:val="24"/>
          <w:szCs w:val="24"/>
        </w:rPr>
        <w:t xml:space="preserve">В статье освещен механизм взаимодействия органов управления и специализированных органов СРО в строительной сфере при осуществлении контрольных функций в отношении своих членов. Рассматриваются практические аспекты проведения контрольных мероприятий в отношении членов СРО в сфере капитального строительства, проектирования и инженерных изысканий. Автором проанализированы содержание и порядок реализации контрольной функции СРО в сфере строительства, а также пределы </w:t>
      </w:r>
      <w:bookmarkStart w:id="18" w:name="_Hlk35091999"/>
      <w:r>
        <w:rPr>
          <w:rFonts w:ascii="Times New Roman" w:hAnsi="Times New Roman" w:cs="Times New Roman"/>
          <w:sz w:val="24"/>
          <w:szCs w:val="24"/>
        </w:rPr>
        <w:t>полномочий органов СРО при осуществлении контрольных мероприятий в отношении своих членов.</w:t>
      </w:r>
      <w:bookmarkEnd w:id="18"/>
    </w:p>
    <w:p w14:paraId="5B32460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i/>
          <w:iCs/>
          <w:sz w:val="24"/>
          <w:szCs w:val="24"/>
        </w:rPr>
        <w:t>Ключевые слова:</w:t>
      </w:r>
      <w:r>
        <w:rPr>
          <w:rFonts w:ascii="Times New Roman" w:hAnsi="Times New Roman" w:cs="Times New Roman"/>
          <w:sz w:val="24"/>
          <w:szCs w:val="24"/>
        </w:rPr>
        <w:t xml:space="preserve"> саморегулируемая организация; строительная сфера; функции; полномочия; компетенции; органы управления; специализированные органы; контрольные мероприятия; проверка деятельности членов СРО.</w:t>
      </w:r>
    </w:p>
    <w:p w14:paraId="32B5135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lang w:val="en-US"/>
        </w:rPr>
      </w:pPr>
      <w:r>
        <w:rPr>
          <w:rFonts w:ascii="Times New Roman" w:hAnsi="Times New Roman" w:cs="Times New Roman"/>
          <w:i/>
          <w:iCs/>
          <w:sz w:val="24"/>
          <w:szCs w:val="24"/>
          <w:lang w:val="en-US"/>
        </w:rPr>
        <w:t>Abstract:</w:t>
      </w:r>
      <w:r>
        <w:rPr>
          <w:rFonts w:ascii="Times New Roman" w:hAnsi="Times New Roman" w:cs="Times New Roman"/>
          <w:sz w:val="24"/>
          <w:szCs w:val="24"/>
          <w:lang w:val="en-US"/>
        </w:rPr>
        <w:t xml:space="preserve"> The article is devoted to the study of the mechanism of interaction between the management bodies and specialized bodies of SRO in the construction sphere in the performance of control functions against their members. Practical aspects and judicial practice of carrying out control measures against members of SRO in the field of capital construction, design and engineering research are considered. The author analyzed the content and procedure of implementation of the control function of SRO in the sphere of construction, as well as the limits of the powers of its bodies when carrying out control measures against its members.</w:t>
      </w:r>
    </w:p>
    <w:p w14:paraId="67B3F58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lang w:val="en-US"/>
        </w:rPr>
      </w:pPr>
      <w:r>
        <w:rPr>
          <w:rFonts w:ascii="Times New Roman" w:hAnsi="Times New Roman" w:cs="Times New Roman"/>
          <w:i/>
          <w:iCs/>
          <w:sz w:val="24"/>
          <w:szCs w:val="24"/>
          <w:lang w:val="en-US"/>
        </w:rPr>
        <w:t>Keywords:</w:t>
      </w:r>
      <w:r>
        <w:rPr>
          <w:rFonts w:ascii="Times New Roman" w:hAnsi="Times New Roman" w:cs="Times New Roman"/>
          <w:sz w:val="24"/>
          <w:szCs w:val="24"/>
          <w:lang w:val="en-US"/>
        </w:rPr>
        <w:t xml:space="preserve"> self-regulated organization; construction sphere; functions; powers; competences; management bodies; specialized bodies; control measures; inspection of activities of SRO members.</w:t>
      </w:r>
    </w:p>
    <w:p w14:paraId="7DDF1EB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Оценивая функциональные составляющие экономической устойчивости развития любого государства, среди множества отраслей деятельности человеческого общества, следует, в первую очередь, обратить внимание на сферу строительства, как на «индикатор» макроэкономических процессов в экономике.  Строительство является одной из крупнейших сфер экономической деятельности нашей страны. 19 июня  2019 года в Российской академии </w:t>
      </w:r>
      <w:r>
        <w:rPr>
          <w:rFonts w:ascii="Times New Roman" w:hAnsi="Times New Roman" w:cs="Times New Roman"/>
          <w:sz w:val="24"/>
          <w:szCs w:val="24"/>
        </w:rPr>
        <w:lastRenderedPageBreak/>
        <w:t>народного хозяйства и государственной службы при Президенте Российской Федерации (РАНХиГС) во исполнение Поручения Президента Российской Федерации № Пр-1235 «О модернизации строительной отрасли и повышении качества строительства» было проведено четыре сессии  по разрабатыванию Проекта Стратегии развития строительной отрасли  России до 2030 года. Участники данного масштабного проекта разработали главные направления дальнейшего развития строительной сферы нашей страны, одним из которых является развитие эффективной и конкурентноспособной отрасли, основанной на высокой квалификации субъектов и обеспечивающей устойчивый рост комфорта и безопасности среды жизнедеятельности человека. Как, верно, указал Камышанский В.П. «… при определении государственной стратегии регулирования экономической деятельности субъектов предпринимательской и профессиональной деятельности государственное вмешательство должно строиться на основе принципа неукоснительного обеспечения баланса частноправовых и публично-правовых интересов…»</w:t>
      </w:r>
      <w:r>
        <w:rPr>
          <w:rStyle w:val="a7"/>
          <w:rFonts w:ascii="Times New Roman" w:hAnsi="Times New Roman" w:cs="Times New Roman"/>
          <w:sz w:val="24"/>
          <w:szCs w:val="24"/>
        </w:rPr>
        <w:footnoteReference w:id="317"/>
      </w:r>
      <w:r>
        <w:rPr>
          <w:rFonts w:ascii="Times New Roman" w:hAnsi="Times New Roman" w:cs="Times New Roman"/>
          <w:sz w:val="24"/>
          <w:szCs w:val="24"/>
        </w:rPr>
        <w:t xml:space="preserve">. </w:t>
      </w:r>
    </w:p>
    <w:p w14:paraId="73AA818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Основополагающей целью саморегулирования в строительной сфере является контроль за качеством выполняемых работ. Необходимо согласиться с Шахбановым А.Б., который говорит о том, что  «…концептуальной составляющей в строительной отрасли является предупреждение причинения вреда вследствие недостатков выполняемых работ членами саморегулируемых организаций перед третьими лицами, причинения вреда окружающей среде, сохранности объектов культурного наследия РФ … причиной возможного причинения вреда являются недостатки работ, которые оказывают влияние на безопасность объектов капитального строительства …»</w:t>
      </w:r>
      <w:r>
        <w:rPr>
          <w:rStyle w:val="a7"/>
          <w:rFonts w:ascii="Times New Roman" w:hAnsi="Times New Roman" w:cs="Times New Roman"/>
          <w:sz w:val="24"/>
          <w:szCs w:val="24"/>
        </w:rPr>
        <w:footnoteReference w:id="318"/>
      </w:r>
      <w:r>
        <w:rPr>
          <w:rFonts w:ascii="Times New Roman" w:hAnsi="Times New Roman" w:cs="Times New Roman"/>
          <w:sz w:val="24"/>
          <w:szCs w:val="24"/>
        </w:rPr>
        <w:t>. Каким образом СРО в сфере строительства реализует контрольные функции, какие органы в структуре данных СРО проводят мероприятия по контролю, и в чем именно заключаются их функциональные полномочия при проведении проверок в отношении своих членов - мы постараемся проанализировать в данной статье. Следует согласиться с Петровым Д. А. в том, что СРО обязаны организовать осуществление контрольной функции путем проведения предварительных контрольных мероприятий, текущих и последующих</w:t>
      </w:r>
      <w:r>
        <w:rPr>
          <w:rStyle w:val="a7"/>
          <w:rFonts w:ascii="Times New Roman" w:hAnsi="Times New Roman" w:cs="Times New Roman"/>
          <w:sz w:val="24"/>
          <w:szCs w:val="24"/>
        </w:rPr>
        <w:footnoteReference w:id="319"/>
      </w:r>
      <w:r>
        <w:rPr>
          <w:rFonts w:ascii="Times New Roman" w:hAnsi="Times New Roman" w:cs="Times New Roman"/>
          <w:sz w:val="24"/>
          <w:szCs w:val="24"/>
        </w:rPr>
        <w:t>. Осуществление контроля за деятельностью членов СРО в сфере строительства регламентируется в первую очередь положениями  Федерального закона от 01 декабря 2007 года №315-ФЗ «О саморегулируемых организациях»  (далее Закон о СРО)</w:t>
      </w:r>
      <w:r>
        <w:rPr>
          <w:rStyle w:val="a7"/>
          <w:rFonts w:ascii="Times New Roman" w:hAnsi="Times New Roman" w:cs="Times New Roman"/>
          <w:sz w:val="24"/>
          <w:szCs w:val="24"/>
        </w:rPr>
        <w:footnoteReference w:id="320"/>
      </w:r>
      <w:r>
        <w:rPr>
          <w:rFonts w:ascii="Times New Roman" w:hAnsi="Times New Roman" w:cs="Times New Roman"/>
          <w:sz w:val="24"/>
          <w:szCs w:val="24"/>
        </w:rPr>
        <w:t>, а также нормами  Градостроительного кодекса Российской федерации (далее - ГрК РФ)</w:t>
      </w:r>
      <w:r>
        <w:rPr>
          <w:rStyle w:val="a7"/>
          <w:rFonts w:ascii="Times New Roman" w:hAnsi="Times New Roman" w:cs="Times New Roman"/>
          <w:sz w:val="24"/>
          <w:szCs w:val="24"/>
        </w:rPr>
        <w:footnoteReference w:id="321"/>
      </w:r>
      <w:r>
        <w:rPr>
          <w:rFonts w:ascii="Times New Roman" w:hAnsi="Times New Roman" w:cs="Times New Roman"/>
          <w:sz w:val="24"/>
          <w:szCs w:val="24"/>
        </w:rPr>
        <w:t xml:space="preserve">.  По результатам сравнительного анализа норм Закона о СРО и ГрК РФ,  можно говорить о том, что положения, закрепленные в главе 6.1. ГрК РФ предусматривают  более подробный перечень возможных контрольных мероприятий  за членами СРО в сфере строительства, чем в самом Законе о СРО. Например, если в п. 8 ч. 1 ст. 6 Закона о СРО среди функций СРО предусмотрено осуществление контроля за предпринимательской или профессиональной деятельностью своих членов в части соблюдения ими требований стандартов и правил СРО, а также условий членства в СРО, то в ч. 2 ст. 55.13 ГрК РФ СРО в строительной сфере предоставлено также право контролировать соблюдение ее членами требований законодательства РФ о градостроительной деятельности, о техническом регулировании, исполнение обязательств по договорам подряда на выполнение инженерных изысканий, </w:t>
      </w:r>
      <w:r>
        <w:rPr>
          <w:rFonts w:ascii="Times New Roman" w:hAnsi="Times New Roman" w:cs="Times New Roman"/>
          <w:sz w:val="24"/>
          <w:szCs w:val="24"/>
        </w:rPr>
        <w:lastRenderedPageBreak/>
        <w:t xml:space="preserve">подготовку проектной документации, договорам строительного подряда, заключенным с использованием конкурентных способов заключения договоров, а также соответствие фактического совокупного размера обязательств по договорам подряда на выполнение инженерных изысканий, подготовку проектной документации, договорам строительного подряда, заключенным членом СРО с использованием конкурентных способов заключения договоров, предельному размеру обязательств, исходя из которого данным членом СРО был внесен взнос в компенсационный фонд обеспечения договорных обязательств.  Также частью 10 ст. 55.13 ГрК РФ предусмотрено, что СРО вправе подавать иски и участвовать в судебных спорах, связанных с неисполнением и (или) ненадлежащим исполнением членами СРО обязательств по договорам подряда на выполнение инженерных изысканий, подготовку проектной документации, договорам строительного подряда, что тоже является методом осуществление контроля СРО за деятельностью своих членов. Частью 11 ст. 55.13 ГрК РФ предусмотрен еще один вид контроля - общественный контроль в сфере закупок.  Как верно указывает Белая О.В. -  при осуществлении контроля за деятельностью своих членов, СРО в сфере строительства используют разные </w:t>
      </w:r>
      <w:r>
        <w:rPr>
          <w:rFonts w:ascii="Times New Roman" w:hAnsi="Times New Roman" w:cs="Times New Roman"/>
          <w:b/>
          <w:bCs/>
          <w:sz w:val="24"/>
          <w:szCs w:val="24"/>
        </w:rPr>
        <w:t>виды мероприятий</w:t>
      </w:r>
      <w:r>
        <w:rPr>
          <w:rFonts w:ascii="Times New Roman" w:hAnsi="Times New Roman" w:cs="Times New Roman"/>
          <w:sz w:val="24"/>
          <w:szCs w:val="24"/>
        </w:rPr>
        <w:t>, такие как: проверка  - ч. ч. 3, 4 ст. 55.13 ГрК РФ; анализ деятельности членов СРО на основании информации, предоставляемой ими в форме отчетов  - п. 5 ч. 1 ст. 55.5 ГрК РФ; уведомление СРО ее членом о фактическом совокупном размере обязательств по договорам подряда на выполнение инженерных изысканий, подготовку проектной документации, договорам строительного подряда, заключенным таким лицом в течение отчетного года с использованием конкурентных способов заключения договоров - ч. 4 ст. 55.8 ГрК РФ</w:t>
      </w:r>
      <w:r>
        <w:rPr>
          <w:rStyle w:val="a7"/>
          <w:rFonts w:ascii="Times New Roman" w:hAnsi="Times New Roman" w:cs="Times New Roman"/>
          <w:sz w:val="24"/>
          <w:szCs w:val="24"/>
        </w:rPr>
        <w:footnoteReference w:id="322"/>
      </w:r>
      <w:r>
        <w:rPr>
          <w:rFonts w:ascii="Times New Roman" w:hAnsi="Times New Roman" w:cs="Times New Roman"/>
          <w:sz w:val="24"/>
          <w:szCs w:val="24"/>
        </w:rPr>
        <w:t xml:space="preserve">. Закон о СРО предусматривает только один вид контроля – это проверки. Проверки могут быть плановыми и внеплановыми (ч. 1 ст. 9 закона о СРО). </w:t>
      </w:r>
      <w:r>
        <w:rPr>
          <w:rFonts w:ascii="Times New Roman" w:hAnsi="Times New Roman" w:cs="Times New Roman"/>
          <w:b/>
          <w:bCs/>
          <w:sz w:val="24"/>
          <w:szCs w:val="24"/>
        </w:rPr>
        <w:t>Плановая проверка</w:t>
      </w:r>
      <w:r>
        <w:rPr>
          <w:rFonts w:ascii="Times New Roman" w:hAnsi="Times New Roman" w:cs="Times New Roman"/>
          <w:sz w:val="24"/>
          <w:szCs w:val="24"/>
        </w:rPr>
        <w:t xml:space="preserve"> проводится в целях контроля за соблюдением членами СРО требований ее стандартов и правил и условий членства в СРО. Согласно части 2 статьи 55.13 ГрК РФ, плановые проверки выполняются не реже раза в год. Информация о проведении плановых (регулярных) проверочных мероприятий должна быть опубликована на официальном сайте СРО. Контрольные мероприятия осуществляются в соответствии с планом проверок, который утверждается постоянно действующим коллегиальным органом управления (далее ПДКО). Продолжительность проверки, тоже устанавливается ПДКО (ч.2 статьи 9 закона о СРО). Основанием проведения </w:t>
      </w:r>
      <w:r>
        <w:rPr>
          <w:rFonts w:ascii="Times New Roman" w:hAnsi="Times New Roman" w:cs="Times New Roman"/>
          <w:b/>
          <w:bCs/>
          <w:sz w:val="24"/>
          <w:szCs w:val="24"/>
        </w:rPr>
        <w:t>внеплановой проверки</w:t>
      </w:r>
      <w:r>
        <w:rPr>
          <w:rFonts w:ascii="Times New Roman" w:hAnsi="Times New Roman" w:cs="Times New Roman"/>
          <w:sz w:val="24"/>
          <w:szCs w:val="24"/>
        </w:rPr>
        <w:t xml:space="preserve"> должна служить какая - либо серьезная причина: например, жалоба о нарушении членом СРО требований стандартов и правил, нанесение ущерба окружающей среде и (или) здоровью и безопасности граждан. СРО в сфере строительства в своей практической деятельности определяют для проведения внеплановых проверок значительно больше оснований, чем СРО в других сферах деятельности, таким образом, они реализуют свое право, предусмотренное частью 5 ст. 9 Закона о СРО.  В свою очередь плановые и внеплановые проверки могут осуществляться в </w:t>
      </w:r>
      <w:r>
        <w:rPr>
          <w:rFonts w:ascii="Times New Roman" w:hAnsi="Times New Roman" w:cs="Times New Roman"/>
          <w:b/>
          <w:bCs/>
          <w:sz w:val="24"/>
          <w:szCs w:val="24"/>
        </w:rPr>
        <w:t xml:space="preserve">документарной </w:t>
      </w:r>
      <w:r>
        <w:rPr>
          <w:rFonts w:ascii="Times New Roman" w:hAnsi="Times New Roman" w:cs="Times New Roman"/>
          <w:sz w:val="24"/>
          <w:szCs w:val="24"/>
        </w:rPr>
        <w:t xml:space="preserve">и (или) </w:t>
      </w:r>
      <w:r>
        <w:rPr>
          <w:rFonts w:ascii="Times New Roman" w:hAnsi="Times New Roman" w:cs="Times New Roman"/>
          <w:b/>
          <w:bCs/>
          <w:sz w:val="24"/>
          <w:szCs w:val="24"/>
        </w:rPr>
        <w:t xml:space="preserve">выездной </w:t>
      </w:r>
      <w:r>
        <w:rPr>
          <w:rFonts w:ascii="Times New Roman" w:hAnsi="Times New Roman" w:cs="Times New Roman"/>
          <w:sz w:val="24"/>
          <w:szCs w:val="24"/>
        </w:rPr>
        <w:t>форме</w:t>
      </w:r>
      <w:r>
        <w:rPr>
          <w:rFonts w:ascii="Times New Roman" w:hAnsi="Times New Roman" w:cs="Times New Roman"/>
          <w:b/>
          <w:bCs/>
          <w:sz w:val="24"/>
          <w:szCs w:val="24"/>
        </w:rPr>
        <w:t xml:space="preserve">. </w:t>
      </w:r>
      <w:r>
        <w:rPr>
          <w:rFonts w:ascii="Times New Roman" w:hAnsi="Times New Roman" w:cs="Times New Roman"/>
          <w:sz w:val="24"/>
          <w:szCs w:val="24"/>
        </w:rPr>
        <w:t xml:space="preserve">Документарная проверка проводится членами контрольного комитета (комиссии) без выезда к месту нахождения члена СРО. Документарная проверка (как плановая, так и внеплановая) проводится по месту нахождения СРО. Выездная проверка проводится в форме выезда контрольного комитета (комиссии) к месту нахождения органов управления проверяемого члена СРО и/или к месту осуществления им своей деятельности. Выездная проверка проводится в том случае, если при документарной проверке не представляется возможным в полном объеме оценить соответствие лица установленным обязательным требованиям, которые являются предметом контроля. </w:t>
      </w:r>
      <w:r>
        <w:rPr>
          <w:rFonts w:ascii="Times New Roman" w:hAnsi="Times New Roman" w:cs="Times New Roman"/>
          <w:b/>
          <w:bCs/>
          <w:sz w:val="24"/>
          <w:szCs w:val="24"/>
        </w:rPr>
        <w:t>Субъектный состав</w:t>
      </w:r>
      <w:r>
        <w:rPr>
          <w:rFonts w:ascii="Times New Roman" w:hAnsi="Times New Roman" w:cs="Times New Roman"/>
          <w:sz w:val="24"/>
          <w:szCs w:val="24"/>
        </w:rPr>
        <w:t xml:space="preserve"> контрольных (проверочных) мероприятий законодателем определен четко: с одной стороны - это член СРО, а с другой - само СРО, в лице ПДКО. Именно данный орган управления отвечает за назначение и проведение проверок. Непосредственно осуществлением самих проверок занимаются </w:t>
      </w:r>
      <w:r>
        <w:rPr>
          <w:rFonts w:ascii="Times New Roman" w:hAnsi="Times New Roman" w:cs="Times New Roman"/>
          <w:b/>
          <w:bCs/>
          <w:sz w:val="24"/>
          <w:szCs w:val="24"/>
        </w:rPr>
        <w:t xml:space="preserve">два специализированных органа СРО </w:t>
      </w:r>
      <w:r>
        <w:rPr>
          <w:rFonts w:ascii="Times New Roman" w:hAnsi="Times New Roman" w:cs="Times New Roman"/>
          <w:sz w:val="24"/>
          <w:szCs w:val="24"/>
        </w:rPr>
        <w:t xml:space="preserve">(контрольная и дисциплинарная комиссия/комитет), которые должны быть созданы и сформированы ПДКО в соответствии с </w:t>
      </w:r>
      <w:r>
        <w:rPr>
          <w:rFonts w:ascii="Times New Roman" w:hAnsi="Times New Roman" w:cs="Times New Roman"/>
          <w:sz w:val="24"/>
          <w:szCs w:val="24"/>
        </w:rPr>
        <w:lastRenderedPageBreak/>
        <w:t xml:space="preserve">законом о СРО в обязательном порядке. Специализированные органы не входят в состав (структуру) органов управления СРО в сфере строительства и имеют определенные функции в рамках проверочных мероприятий, действуя на основании устава и принимаемых в соответствии с ним внутренних нормативных документов, например, положения о контрольном органе и положения о дисциплинарном органе. </w:t>
      </w:r>
      <w:r>
        <w:rPr>
          <w:rFonts w:ascii="Times New Roman" w:hAnsi="Times New Roman" w:cs="Times New Roman"/>
          <w:b/>
          <w:bCs/>
          <w:sz w:val="24"/>
          <w:szCs w:val="24"/>
        </w:rPr>
        <w:t>Объектом</w:t>
      </w:r>
      <w:r>
        <w:rPr>
          <w:rFonts w:ascii="Times New Roman" w:hAnsi="Times New Roman" w:cs="Times New Roman"/>
          <w:sz w:val="24"/>
          <w:szCs w:val="24"/>
        </w:rPr>
        <w:t xml:space="preserve"> (предметом) контрольных проверок является непосредственно деятельность члена СРО. Необходимо сделать важное уточнение, что проверяется не вся деятельность члена СРО в целом, а некоторые аспекты, которые непосредственно касаются соответствия стандартам СРО. Так же проверяется наличие в составе члена СРО сотрудников с должной квалификацией и правильное внесение изменений в уставные бумаги. Хотелось бы отметить, что </w:t>
      </w:r>
      <w:r>
        <w:rPr>
          <w:rFonts w:ascii="Times New Roman" w:hAnsi="Times New Roman" w:cs="Times New Roman"/>
          <w:b/>
          <w:bCs/>
          <w:sz w:val="24"/>
          <w:szCs w:val="24"/>
        </w:rPr>
        <w:t>права СРО в рамках проверки</w:t>
      </w:r>
      <w:r>
        <w:rPr>
          <w:rFonts w:ascii="Times New Roman" w:hAnsi="Times New Roman" w:cs="Times New Roman"/>
          <w:sz w:val="24"/>
          <w:szCs w:val="24"/>
        </w:rPr>
        <w:t xml:space="preserve"> своих членов являются </w:t>
      </w:r>
      <w:r>
        <w:rPr>
          <w:rFonts w:ascii="Times New Roman" w:hAnsi="Times New Roman" w:cs="Times New Roman"/>
          <w:b/>
          <w:bCs/>
          <w:sz w:val="24"/>
          <w:szCs w:val="24"/>
        </w:rPr>
        <w:t>ограниченными</w:t>
      </w:r>
      <w:r>
        <w:rPr>
          <w:rFonts w:ascii="Times New Roman" w:hAnsi="Times New Roman" w:cs="Times New Roman"/>
          <w:sz w:val="24"/>
          <w:szCs w:val="24"/>
        </w:rPr>
        <w:t xml:space="preserve">, например, СРО не может потребовать: финансовый отчет, документы, которые составляют коммерческую тайну, а также бухгалтерский баланс. Итак, в первую очередь, начиная любой вид проверки, ПДКО утверждает решение контрольного органа о проведении контрольного мероприятия, и члену СРО направляется уведомление о предстоящей процедуре. Далее контрольная комиссия (комитет) непосредственно начинает осуществлять проверочные мероприятия и по их окончанию составляется акт о выявленных нарушения или об их отсутствии. В случае выявления нарушений в деятельности члена СРО материалы проверки на основании решения контрольного органа передаются в дисциплинарный орган для принятия соответствующего решения. Полномочия специализированных органов в рамках осуществления проверочных мероприятий распределены следующим образом: контрольный комитет (комиссия)  выявляет и определяет нарушения какого характера имеются в деятельности того или иного члена СРО, а полученные в результате проверки материалы -  рассматривает, анализирует и принимает решение по ним второй специализированный орган - дисциплинарный комитет (комиссия). Комплекс определенных взаимосвязанных действий по: выявлению фактов нарушений обязательных требований, совершенных членами СРО, рассмотрению материалов проверки и применению к такому члену мер дисциплинарного воздействия - называется </w:t>
      </w:r>
      <w:r>
        <w:rPr>
          <w:rFonts w:ascii="Times New Roman" w:hAnsi="Times New Roman" w:cs="Times New Roman"/>
          <w:b/>
          <w:bCs/>
          <w:sz w:val="24"/>
          <w:szCs w:val="24"/>
        </w:rPr>
        <w:t>дисциплинарным производством</w:t>
      </w:r>
      <w:r>
        <w:rPr>
          <w:rFonts w:ascii="Times New Roman" w:hAnsi="Times New Roman" w:cs="Times New Roman"/>
          <w:sz w:val="24"/>
          <w:szCs w:val="24"/>
        </w:rPr>
        <w:t xml:space="preserve">. По итогам заседания дисциплинарный комитет (комиссия) выносит одно из следующих мотивированных решений:  применить меры дисциплинарного воздействия к члену СРО;  вынести рекомендации Общему собранию или ПДКО о применении к члену меры дисциплинарного воздействия; отказать в применении к члену СРО меры дисциплинарного воздействия; прекратить дисциплинарное производство; возобновить право осуществлять строительство, реконструкцию, капитальный ремонт, снос объектов капитального строительства; продлить срок устранения нарушений по мерам дисциплинарного воздействия; направить материалы дисциплинарного производства в контрольный орган для проведения проверки. </w:t>
      </w:r>
    </w:p>
    <w:p w14:paraId="6F37646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Органами СРО в сфере строительства, уполномоченными принимать решения о применении мер дисциплинарного воздействия к своим членам, являются</w:t>
      </w:r>
      <w:r>
        <w:rPr>
          <w:rFonts w:ascii="Times New Roman" w:hAnsi="Times New Roman" w:cs="Times New Roman"/>
          <w:b/>
          <w:bCs/>
          <w:sz w:val="24"/>
          <w:szCs w:val="24"/>
        </w:rPr>
        <w:t>: дисциплинарный орган, ПДКО, Общее собрание</w:t>
      </w:r>
      <w:r>
        <w:rPr>
          <w:rFonts w:ascii="Times New Roman" w:hAnsi="Times New Roman" w:cs="Times New Roman"/>
          <w:sz w:val="24"/>
          <w:szCs w:val="24"/>
        </w:rPr>
        <w:t xml:space="preserve">. По итогам рассмотрения </w:t>
      </w:r>
      <w:r>
        <w:rPr>
          <w:rFonts w:ascii="Times New Roman" w:hAnsi="Times New Roman" w:cs="Times New Roman"/>
          <w:b/>
          <w:bCs/>
          <w:sz w:val="24"/>
          <w:szCs w:val="24"/>
        </w:rPr>
        <w:t>дисциплинарный орган вправе</w:t>
      </w:r>
      <w:r>
        <w:rPr>
          <w:rFonts w:ascii="Times New Roman" w:hAnsi="Times New Roman" w:cs="Times New Roman"/>
          <w:sz w:val="24"/>
          <w:szCs w:val="24"/>
        </w:rPr>
        <w:t xml:space="preserve">:– вынести предписание об обязательном устранении выявленных нарушений в установленные сроки;  вынести предупреждение члену СРО; наложить штраф; приостановить право осуществлять строительство, реконструкцию, капитальный ремонт, снос объектов капитального строительства; подготовить рекомендацию об исключении из членов СРО. </w:t>
      </w:r>
      <w:r>
        <w:rPr>
          <w:rFonts w:ascii="Times New Roman" w:hAnsi="Times New Roman" w:cs="Times New Roman"/>
          <w:b/>
          <w:bCs/>
          <w:sz w:val="24"/>
          <w:szCs w:val="24"/>
        </w:rPr>
        <w:t>Компетенция ПДКО</w:t>
      </w:r>
      <w:r>
        <w:rPr>
          <w:rFonts w:ascii="Times New Roman" w:hAnsi="Times New Roman" w:cs="Times New Roman"/>
          <w:sz w:val="24"/>
          <w:szCs w:val="24"/>
        </w:rPr>
        <w:t xml:space="preserve"> по применению мер дисциплинарного воздействия заключается в вправе принять решение об исключение из членов СРО и решение об отмене в отношении члена СРО таких мер дисциплинарного воздействия как: наложение штрафа, приостановления права осуществлять строительство, реконструкцию, капитальный ремонт, снос объектов капитального строительства и рекомендации об исключении из членов СРО. </w:t>
      </w:r>
      <w:r>
        <w:rPr>
          <w:rFonts w:ascii="Times New Roman" w:hAnsi="Times New Roman" w:cs="Times New Roman"/>
          <w:b/>
          <w:bCs/>
          <w:sz w:val="24"/>
          <w:szCs w:val="24"/>
        </w:rPr>
        <w:t>Общее собрание</w:t>
      </w:r>
      <w:r>
        <w:rPr>
          <w:rFonts w:ascii="Times New Roman" w:hAnsi="Times New Roman" w:cs="Times New Roman"/>
          <w:sz w:val="24"/>
          <w:szCs w:val="24"/>
        </w:rPr>
        <w:t xml:space="preserve"> вправе принять решение об отказе в применении к члену СРО самой серьезной меры дисциплинарного воздействия - исключения. Необходимо согласиться с Лесковой Ю.Г. в  том, что специализированный орган, на который возложены полномочия по избранию определенной меры дисциплинарного наказания в отношении члена СРО, не вправе </w:t>
      </w:r>
      <w:r>
        <w:rPr>
          <w:rFonts w:ascii="Times New Roman" w:hAnsi="Times New Roman" w:cs="Times New Roman"/>
          <w:sz w:val="24"/>
          <w:szCs w:val="24"/>
        </w:rPr>
        <w:lastRenderedPageBreak/>
        <w:t xml:space="preserve">принимать решение по вопросу об исключении из СРО ее члена, он только может подготовить представление по исключению на рассмотрение коллегиального органа </w:t>
      </w:r>
      <w:r>
        <w:rPr>
          <w:rStyle w:val="a7"/>
          <w:rFonts w:ascii="Times New Roman" w:hAnsi="Times New Roman" w:cs="Times New Roman"/>
          <w:sz w:val="24"/>
          <w:szCs w:val="24"/>
        </w:rPr>
        <w:footnoteReference w:id="323"/>
      </w:r>
      <w:r>
        <w:rPr>
          <w:rFonts w:ascii="Times New Roman" w:hAnsi="Times New Roman" w:cs="Times New Roman"/>
          <w:sz w:val="24"/>
          <w:szCs w:val="24"/>
        </w:rPr>
        <w:t xml:space="preserve">. </w:t>
      </w:r>
    </w:p>
    <w:p w14:paraId="3B14310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Важно отметить, что согласно ч. 1 ст. 55.15 ГрК, в отношении члена СРО могут быть применены любые санкционные меры, предусмотренные законом о СРО, но само СРО может инициировать и другую меру, дисциплинарного характера, которая закреплена во внутренних документах. В силу п. 3 ст. 10 закона о СРО при рассмотрении дел о применении мер дисциплинарного воздействия в отношении своего члена, СРО обязано пригласить данного члена на заседание, где будет решаться вопрос о применении меры дисциплинарного воздействия в отношении него. Согласно п. 6 ст. 10  закона о СРО в течение двух рабочих дней со дня принятия органом по рассмотрению дел о применении в отношении члена СРО мер дисциплинарного воздействия, СРО должно направить в форме документов на бумажном носителе или в форме электронных документов (пакета электронных документов), подписанных электронной подписью, копии такого решения члену СРО, а также лицу, направившему жалобу, по которой принято такое решение. Решение, принятое по результатам проведения плановой/внеплановой проверки о применении взыскательной меры, может быть обжаловано членом СРО в арбитражном или третейском суде, сформированным соответствующим Национальным объединением. Многочисленная практика обращения членов СРО в сфере строительства за защитой своих нарушенных прав и законных интересов в арбитражные суды показала, что все контрольные (проверочные) мероприятия, проводимые СРО должны быть проведены и оформлены строго в соответствии с законом и внутренними документами (положениями, регламентами)  СРО в строительной сфере</w:t>
      </w:r>
      <w:r>
        <w:rPr>
          <w:rStyle w:val="a7"/>
          <w:rFonts w:ascii="Times New Roman" w:hAnsi="Times New Roman" w:cs="Times New Roman"/>
          <w:sz w:val="24"/>
          <w:szCs w:val="24"/>
        </w:rPr>
        <w:footnoteReference w:id="324"/>
      </w:r>
      <w:r>
        <w:rPr>
          <w:rFonts w:ascii="Times New Roman" w:hAnsi="Times New Roman" w:cs="Times New Roman"/>
          <w:sz w:val="24"/>
          <w:szCs w:val="24"/>
        </w:rPr>
        <w:t xml:space="preserve">. </w:t>
      </w:r>
    </w:p>
    <w:p w14:paraId="10A93FB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Эффективность работы СРО по исполнению контрольных функций в строительной сфере напрямую зависит от состояния деятельности её органов, непосредственно осуществляющих контрольные мероприятия. Таким образом, реализуя свои полномочия в области контроля, органы управления и специализированные органы СРО в сфере строительства обеспечивают необходимый баланс законных прав и интересов самой СРО, члена СРО и потребителей товаров (работ, услуг), производимых членом СРО.</w:t>
      </w:r>
    </w:p>
    <w:p w14:paraId="47FD4FF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4"/>
          <w:szCs w:val="24"/>
        </w:rPr>
      </w:pPr>
    </w:p>
    <w:p w14:paraId="5BF117A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bCs/>
          <w:sz w:val="24"/>
          <w:szCs w:val="24"/>
        </w:rPr>
      </w:pPr>
      <w:r>
        <w:rPr>
          <w:rFonts w:ascii="Times New Roman" w:hAnsi="Times New Roman" w:cs="Times New Roman"/>
          <w:b/>
          <w:bCs/>
          <w:sz w:val="24"/>
          <w:szCs w:val="24"/>
        </w:rPr>
        <w:t>Библиографический список</w:t>
      </w:r>
    </w:p>
    <w:p w14:paraId="4B24937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i/>
          <w:iCs/>
          <w:sz w:val="24"/>
          <w:szCs w:val="24"/>
        </w:rPr>
        <w:t>1. Белая О.В.</w:t>
      </w:r>
      <w:r>
        <w:rPr>
          <w:rFonts w:ascii="Times New Roman" w:hAnsi="Times New Roman" w:cs="Times New Roman"/>
          <w:sz w:val="24"/>
          <w:szCs w:val="24"/>
        </w:rPr>
        <w:t xml:space="preserve"> </w:t>
      </w:r>
      <w:r>
        <w:rPr>
          <w:rFonts w:ascii="Times New Roman" w:hAnsi="Times New Roman" w:cs="Times New Roman"/>
          <w:i/>
          <w:iCs/>
          <w:sz w:val="24"/>
          <w:szCs w:val="24"/>
        </w:rPr>
        <w:t xml:space="preserve"> </w:t>
      </w:r>
      <w:r>
        <w:rPr>
          <w:rFonts w:ascii="Times New Roman" w:hAnsi="Times New Roman" w:cs="Times New Roman"/>
          <w:sz w:val="24"/>
          <w:szCs w:val="24"/>
        </w:rPr>
        <w:t>Отдельные аспекты осуществления контрольной деятельности СРО в области строительства в отношении своих членов. «Законы России: опыт, анализ, практика», 2017, N 11. Доступ из справ.-правовой системы «КонсультантПлюс».</w:t>
      </w:r>
    </w:p>
    <w:p w14:paraId="55393DF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i/>
          <w:iCs/>
          <w:sz w:val="24"/>
          <w:szCs w:val="24"/>
        </w:rPr>
        <w:t>2. Камышанский В.П.</w:t>
      </w:r>
      <w:r>
        <w:rPr>
          <w:rFonts w:ascii="Times New Roman" w:hAnsi="Times New Roman" w:cs="Times New Roman"/>
          <w:sz w:val="24"/>
          <w:szCs w:val="24"/>
        </w:rPr>
        <w:t xml:space="preserve"> К вопросу об ограничении прав саморегулируемых организаций. «Законы России: опыт, анализ, практика», 2017, N 8. Доступ из справ.-правовой системы «КонсультантПлюс».</w:t>
      </w:r>
    </w:p>
    <w:p w14:paraId="100B773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i/>
          <w:iCs/>
          <w:sz w:val="24"/>
          <w:szCs w:val="24"/>
        </w:rPr>
        <w:t>3. Лескова Ю.Г.</w:t>
      </w:r>
      <w:r>
        <w:rPr>
          <w:rFonts w:ascii="Times New Roman" w:hAnsi="Times New Roman" w:cs="Times New Roman"/>
          <w:sz w:val="24"/>
          <w:szCs w:val="24"/>
        </w:rPr>
        <w:t xml:space="preserve"> Концептуальные и правовые основы саморегулирования предпринимательских отношений. М.: Статут, 2013. Доступ из справ.-правовой системы «КонсультантПлюс».</w:t>
      </w:r>
    </w:p>
    <w:p w14:paraId="22E83E5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i/>
          <w:iCs/>
          <w:sz w:val="24"/>
          <w:szCs w:val="24"/>
        </w:rPr>
        <w:t>4.</w:t>
      </w:r>
      <w:r>
        <w:rPr>
          <w:rFonts w:ascii="Times New Roman" w:hAnsi="Times New Roman" w:cs="Times New Roman"/>
          <w:sz w:val="24"/>
          <w:szCs w:val="24"/>
        </w:rPr>
        <w:t xml:space="preserve"> Мы уже накопили достаточный опыт саморегулирования. </w:t>
      </w:r>
      <w:hyperlink r:id="rId39" w:history="1">
        <w:r>
          <w:rPr>
            <w:rStyle w:val="a9"/>
            <w:rFonts w:ascii="Times New Roman" w:hAnsi="Times New Roman" w:cs="Times New Roman"/>
            <w:sz w:val="24"/>
            <w:szCs w:val="24"/>
          </w:rPr>
          <w:t>http://nostroy.ru/articles/detail.php?ELEMENT_ID=2894</w:t>
        </w:r>
      </w:hyperlink>
      <w:r>
        <w:rPr>
          <w:rFonts w:ascii="Times New Roman" w:hAnsi="Times New Roman" w:cs="Times New Roman"/>
          <w:sz w:val="24"/>
          <w:szCs w:val="24"/>
        </w:rPr>
        <w:t xml:space="preserve"> (дата обращения: 12.03.2020).</w:t>
      </w:r>
    </w:p>
    <w:p w14:paraId="42AC312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i/>
          <w:iCs/>
          <w:sz w:val="24"/>
          <w:szCs w:val="24"/>
        </w:rPr>
        <w:t>5. Петров Д.А.</w:t>
      </w:r>
      <w:r>
        <w:rPr>
          <w:rFonts w:ascii="Times New Roman" w:hAnsi="Times New Roman" w:cs="Times New Roman"/>
          <w:sz w:val="24"/>
          <w:szCs w:val="24"/>
        </w:rPr>
        <w:t xml:space="preserve"> Контрольная функция саморегулируемых организаций: содержание и проблемы осуществления // Конкурентное право. 2014. N 1. С. 30 - 35.с</w:t>
      </w:r>
    </w:p>
    <w:p w14:paraId="62E74D3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sectPr w:rsidR="001B6C3B">
          <w:footnotePr>
            <w:numRestart w:val="eachPage"/>
          </w:footnotePr>
          <w:pgSz w:w="11906" w:h="16838"/>
          <w:pgMar w:top="1134" w:right="1134" w:bottom="1134" w:left="1134" w:header="708" w:footer="708" w:gutter="0"/>
          <w:cols w:space="720"/>
        </w:sectPr>
      </w:pPr>
    </w:p>
    <w:p w14:paraId="5E89DD7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536"/>
        <w:jc w:val="both"/>
        <w:rPr>
          <w:rFonts w:ascii="Times New Roman" w:hAnsi="Times New Roman" w:cs="Times New Roman"/>
          <w:sz w:val="24"/>
          <w:szCs w:val="24"/>
        </w:rPr>
      </w:pPr>
      <w:r>
        <w:rPr>
          <w:rFonts w:ascii="Times New Roman" w:hAnsi="Times New Roman" w:cs="Times New Roman"/>
          <w:sz w:val="24"/>
          <w:szCs w:val="24"/>
        </w:rPr>
        <w:lastRenderedPageBreak/>
        <w:t>УДК 347.78</w:t>
      </w:r>
    </w:p>
    <w:p w14:paraId="6A03128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spacing w:after="0" w:line="240" w:lineRule="auto"/>
        <w:ind w:left="4536"/>
        <w:jc w:val="both"/>
        <w:rPr>
          <w:rFonts w:ascii="Times New Roman" w:hAnsi="Times New Roman" w:cs="Times New Roman"/>
          <w:sz w:val="24"/>
          <w:szCs w:val="24"/>
        </w:rPr>
      </w:pPr>
    </w:p>
    <w:p w14:paraId="12EB74A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536"/>
        <w:jc w:val="both"/>
        <w:rPr>
          <w:rFonts w:ascii="Times New Roman" w:eastAsia="Times New Roman" w:hAnsi="Times New Roman" w:cs="Times New Roman"/>
          <w:b/>
          <w:iCs/>
          <w:sz w:val="24"/>
          <w:szCs w:val="24"/>
        </w:rPr>
      </w:pPr>
      <w:r>
        <w:rPr>
          <w:rFonts w:ascii="Times New Roman" w:eastAsia="Times New Roman" w:hAnsi="Times New Roman" w:cs="Times New Roman"/>
          <w:b/>
          <w:iCs/>
          <w:sz w:val="24"/>
          <w:szCs w:val="24"/>
        </w:rPr>
        <w:t>Слюсарев Андрей Владимирович</w:t>
      </w:r>
    </w:p>
    <w:p w14:paraId="6DE704C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536"/>
        <w:jc w:val="both"/>
        <w:rPr>
          <w:rFonts w:ascii="Times New Roman" w:eastAsia="Times New Roman" w:hAnsi="Times New Roman" w:cs="Times New Roman"/>
          <w:b/>
          <w:iCs/>
          <w:sz w:val="24"/>
          <w:szCs w:val="24"/>
        </w:rPr>
      </w:pPr>
      <w:r>
        <w:rPr>
          <w:rFonts w:ascii="Times New Roman" w:eastAsia="Times New Roman" w:hAnsi="Times New Roman" w:cs="Times New Roman"/>
          <w:b/>
          <w:iCs/>
          <w:sz w:val="24"/>
          <w:szCs w:val="24"/>
        </w:rPr>
        <w:t xml:space="preserve"> Sly</w:t>
      </w:r>
      <w:r>
        <w:rPr>
          <w:rFonts w:ascii="Times New Roman" w:eastAsia="Times New Roman" w:hAnsi="Times New Roman" w:cs="Times New Roman"/>
          <w:b/>
          <w:iCs/>
          <w:sz w:val="24"/>
          <w:szCs w:val="24"/>
          <w:lang w:val="en-US"/>
        </w:rPr>
        <w:t>usarev</w:t>
      </w:r>
      <w:r w:rsidRPr="00430C1C">
        <w:rPr>
          <w:rFonts w:ascii="Times New Roman" w:eastAsia="Times New Roman" w:hAnsi="Times New Roman" w:cs="Times New Roman"/>
          <w:b/>
          <w:iCs/>
          <w:sz w:val="24"/>
          <w:szCs w:val="24"/>
        </w:rPr>
        <w:t xml:space="preserve"> </w:t>
      </w:r>
      <w:r>
        <w:rPr>
          <w:rFonts w:ascii="Times New Roman" w:eastAsia="Times New Roman" w:hAnsi="Times New Roman" w:cs="Times New Roman"/>
          <w:b/>
          <w:iCs/>
          <w:sz w:val="24"/>
          <w:szCs w:val="24"/>
          <w:lang w:val="en-US"/>
        </w:rPr>
        <w:t>Andrey</w:t>
      </w:r>
      <w:r w:rsidRPr="00430C1C">
        <w:rPr>
          <w:rFonts w:ascii="Times New Roman" w:eastAsia="Times New Roman" w:hAnsi="Times New Roman" w:cs="Times New Roman"/>
          <w:b/>
          <w:iCs/>
          <w:sz w:val="24"/>
          <w:szCs w:val="24"/>
        </w:rPr>
        <w:t xml:space="preserve"> </w:t>
      </w:r>
      <w:r>
        <w:rPr>
          <w:rFonts w:ascii="Times New Roman" w:eastAsia="Times New Roman" w:hAnsi="Times New Roman" w:cs="Times New Roman"/>
          <w:b/>
          <w:iCs/>
          <w:sz w:val="24"/>
          <w:szCs w:val="24"/>
          <w:lang w:val="en-US"/>
        </w:rPr>
        <w:t>Vladimirovich</w:t>
      </w:r>
    </w:p>
    <w:p w14:paraId="52B0406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536"/>
        <w:jc w:val="both"/>
        <w:rPr>
          <w:rFonts w:ascii="Times New Roman" w:hAnsi="Times New Roman" w:cs="Times New Roman"/>
          <w:sz w:val="24"/>
          <w:szCs w:val="24"/>
        </w:rPr>
      </w:pPr>
      <w:r>
        <w:rPr>
          <w:rFonts w:ascii="Times New Roman" w:hAnsi="Times New Roman" w:cs="Times New Roman"/>
          <w:sz w:val="24"/>
          <w:szCs w:val="24"/>
        </w:rPr>
        <w:t>аспирант Федеральное государственное бюджетное образовательное учреждение</w:t>
      </w:r>
    </w:p>
    <w:p w14:paraId="4EA2B8A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536"/>
        <w:jc w:val="both"/>
        <w:rPr>
          <w:rFonts w:ascii="Times New Roman" w:hAnsi="Times New Roman" w:cs="Times New Roman"/>
          <w:sz w:val="24"/>
          <w:szCs w:val="24"/>
        </w:rPr>
      </w:pPr>
      <w:r>
        <w:rPr>
          <w:rFonts w:ascii="Times New Roman" w:hAnsi="Times New Roman" w:cs="Times New Roman"/>
          <w:sz w:val="24"/>
          <w:szCs w:val="24"/>
        </w:rPr>
        <w:t>высшего образования</w:t>
      </w:r>
    </w:p>
    <w:p w14:paraId="5392E2B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536"/>
        <w:jc w:val="both"/>
        <w:rPr>
          <w:rFonts w:ascii="Times New Roman" w:hAnsi="Times New Roman" w:cs="Times New Roman"/>
          <w:sz w:val="24"/>
          <w:szCs w:val="24"/>
        </w:rPr>
      </w:pPr>
      <w:r>
        <w:rPr>
          <w:rFonts w:ascii="Times New Roman" w:hAnsi="Times New Roman" w:cs="Times New Roman"/>
          <w:sz w:val="24"/>
          <w:szCs w:val="24"/>
        </w:rPr>
        <w:t>«Кубанский государственный аграрный университет имени И.Т. Трубилина»</w:t>
      </w:r>
    </w:p>
    <w:p w14:paraId="450F7C17"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536"/>
        <w:jc w:val="both"/>
      </w:pPr>
      <w:r>
        <w:t>Federal State Budgetary Educational Institution of Higher Education</w:t>
      </w:r>
    </w:p>
    <w:p w14:paraId="7E184562"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536"/>
        <w:jc w:val="both"/>
      </w:pPr>
      <w:r>
        <w:t>“Kuban State Agrarian University named after I.T. Trubilin”</w:t>
      </w:r>
    </w:p>
    <w:p w14:paraId="042AC84D"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536"/>
        <w:jc w:val="both"/>
        <w:rPr>
          <w:lang w:val="ru-RU"/>
        </w:rPr>
      </w:pPr>
      <w:r>
        <w:rPr>
          <w:lang w:val="ru-RU"/>
        </w:rPr>
        <w:t>Российская Федерация, г. Краснодар</w:t>
      </w:r>
    </w:p>
    <w:p w14:paraId="7852E3A6"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536"/>
        <w:jc w:val="both"/>
        <w:rPr>
          <w:lang w:val="ru-RU"/>
        </w:rPr>
      </w:pPr>
      <w:r>
        <w:t>Russian</w:t>
      </w:r>
      <w:r>
        <w:rPr>
          <w:lang w:val="ru-RU"/>
        </w:rPr>
        <w:t xml:space="preserve"> </w:t>
      </w:r>
      <w:r>
        <w:t>Federation</w:t>
      </w:r>
      <w:r>
        <w:rPr>
          <w:lang w:val="ru-RU"/>
        </w:rPr>
        <w:t xml:space="preserve">, </w:t>
      </w:r>
      <w:r>
        <w:t>Krasnodar</w:t>
      </w:r>
    </w:p>
    <w:p w14:paraId="1EF4418E" w14:textId="77777777" w:rsidR="001B6C3B" w:rsidRDefault="00EE7838"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536"/>
        <w:jc w:val="both"/>
        <w:rPr>
          <w:rFonts w:ascii="Times New Roman" w:hAnsi="Times New Roman" w:cs="Times New Roman"/>
          <w:sz w:val="24"/>
          <w:szCs w:val="24"/>
          <w:shd w:val="clear" w:color="auto" w:fill="FFFFFF"/>
        </w:rPr>
      </w:pPr>
      <w:hyperlink r:id="rId40" w:history="1">
        <w:r w:rsidR="001B6C3B">
          <w:rPr>
            <w:rStyle w:val="a9"/>
            <w:rFonts w:ascii="Times New Roman" w:hAnsi="Times New Roman" w:cs="Times New Roman"/>
            <w:sz w:val="24"/>
            <w:szCs w:val="24"/>
            <w:shd w:val="clear" w:color="auto" w:fill="FFFFFF"/>
          </w:rPr>
          <w:t>slyusarev_av@bk.ru</w:t>
        </w:r>
      </w:hyperlink>
    </w:p>
    <w:p w14:paraId="1B83ADF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w:hAnsi="Times New Roman" w:cs="Times New Roman"/>
          <w:sz w:val="24"/>
          <w:szCs w:val="24"/>
        </w:rPr>
      </w:pPr>
    </w:p>
    <w:p w14:paraId="25B4C9B9"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b/>
          <w:shd w:val="clear" w:color="auto" w:fill="FFFFFF"/>
          <w:lang w:val="ru-RU"/>
        </w:rPr>
      </w:pPr>
      <w:r>
        <w:rPr>
          <w:b/>
          <w:shd w:val="clear" w:color="auto" w:fill="FFFFFF"/>
          <w:lang w:val="ru-RU"/>
        </w:rPr>
        <w:t>ДОГОВОРНОЕ РЕГУЛИРОВАНИЕ ОТНОШЕНИЙ ПО СОЗДАНИЮ И ИСПОЛЬЗОВАНИЮ РЕЗУЛЬТАТОВ ИНТЕЛЛЕКТУАЛЬНОЙ ДЕЯТЕЛЬНОСТИ</w:t>
      </w:r>
    </w:p>
    <w:p w14:paraId="23AB8983"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b/>
          <w:shd w:val="clear" w:color="auto" w:fill="FFFFFF"/>
          <w:lang w:val="ru-RU"/>
        </w:rPr>
      </w:pPr>
    </w:p>
    <w:p w14:paraId="06C72F2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eastAsia="Times New Roman" w:hAnsi="Times New Roman" w:cs="Times New Roman"/>
          <w:b/>
          <w:sz w:val="24"/>
          <w:szCs w:val="24"/>
          <w:lang w:val="en-US"/>
        </w:rPr>
      </w:pPr>
      <w:r>
        <w:rPr>
          <w:rFonts w:ascii="Times New Roman" w:eastAsia="Times New Roman" w:hAnsi="Times New Roman" w:cs="Times New Roman"/>
          <w:b/>
          <w:sz w:val="24"/>
          <w:szCs w:val="24"/>
          <w:lang w:val="en"/>
        </w:rPr>
        <w:t>CONTRACTUAL REGULATION OF RELATIONS FOR CREATION AND USE OF INTELLECTUAL ACTIVITY RESULTS</w:t>
      </w:r>
    </w:p>
    <w:p w14:paraId="22678B8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w:hAnsi="Times New Roman" w:cs="Times New Roman"/>
          <w:b/>
          <w:sz w:val="24"/>
          <w:szCs w:val="24"/>
          <w:lang w:val="en-US"/>
        </w:rPr>
      </w:pPr>
    </w:p>
    <w:p w14:paraId="795FCC7F" w14:textId="77777777" w:rsidR="001B6C3B" w:rsidRPr="0074411C"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w:hAnsi="Times New Roman" w:cs="Times New Roman"/>
          <w:sz w:val="24"/>
          <w:szCs w:val="24"/>
        </w:rPr>
      </w:pPr>
      <w:r w:rsidRPr="0074411C">
        <w:rPr>
          <w:rFonts w:ascii="Times New Roman" w:hAnsi="Times New Roman" w:cs="Times New Roman"/>
          <w:sz w:val="24"/>
          <w:szCs w:val="24"/>
        </w:rPr>
        <w:t>Аннотация: в статье автор рассматривает вопросы договорного регулирования отношений по созданию и использованию результатов интеллектуальной деятельности. При этом особое внимание уделяется актуальным проблемам гражданско-правового регулирования отношений в сфере интеллектуальной собственности. Проводится анализ действующего законодательства, а также правоприменительной практики. Автором формируется соответствующие выводы и предложения.</w:t>
      </w:r>
    </w:p>
    <w:p w14:paraId="6B350EE8" w14:textId="77777777" w:rsidR="001B6C3B" w:rsidRPr="0074411C"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ru-RU"/>
        </w:rPr>
      </w:pPr>
      <w:r w:rsidRPr="0074411C">
        <w:rPr>
          <w:lang w:val="ru-RU"/>
        </w:rPr>
        <w:t xml:space="preserve">Ключевые слова: интеллектуальные права; договор; интеллектуальная деятельность; изобретения; авторское право; интеллектуальная собственность. </w:t>
      </w:r>
    </w:p>
    <w:p w14:paraId="5BA3E366" w14:textId="77777777" w:rsidR="001B6C3B" w:rsidRPr="0074411C" w:rsidRDefault="001B6C3B" w:rsidP="001B6C3B">
      <w:pPr>
        <w:pStyle w:val="HTML"/>
        <w:ind w:firstLine="709"/>
        <w:rPr>
          <w:rFonts w:ascii="Times New Roman" w:hAnsi="Times New Roman" w:cs="Times New Roman"/>
          <w:sz w:val="24"/>
          <w:szCs w:val="24"/>
          <w:lang w:val="en-US"/>
        </w:rPr>
      </w:pPr>
      <w:r w:rsidRPr="0074411C">
        <w:rPr>
          <w:rFonts w:ascii="Times New Roman" w:hAnsi="Times New Roman" w:cs="Times New Roman"/>
          <w:sz w:val="24"/>
          <w:szCs w:val="24"/>
        </w:rPr>
        <w:tab/>
      </w:r>
      <w:r w:rsidRPr="0074411C">
        <w:rPr>
          <w:rFonts w:ascii="Times New Roman" w:hAnsi="Times New Roman" w:cs="Times New Roman"/>
          <w:sz w:val="24"/>
          <w:szCs w:val="24"/>
          <w:lang w:val="en-US"/>
        </w:rPr>
        <w:t xml:space="preserve">Annotation: </w:t>
      </w:r>
      <w:r w:rsidRPr="0074411C">
        <w:rPr>
          <w:rFonts w:ascii="Times New Roman" w:hAnsi="Times New Roman" w:cs="Times New Roman"/>
          <w:sz w:val="24"/>
          <w:szCs w:val="24"/>
          <w:lang w:val="en"/>
        </w:rPr>
        <w:t>In the article, the author considers the issues of contractual regulation of relations on the creation and use of the results of intellectual activity. At the same time, special attention is paid to urgent problems of civil regulation of relations in the field of intellectual property. The analysis of the current legislation, as well as law enforcement practice. The author draws up relevant conclusions and suggestions.</w:t>
      </w:r>
    </w:p>
    <w:p w14:paraId="39579925" w14:textId="77777777" w:rsidR="001B6C3B" w:rsidRPr="0074411C" w:rsidRDefault="001B6C3B" w:rsidP="001B6C3B">
      <w:pPr>
        <w:pStyle w:val="HTML"/>
        <w:ind w:firstLine="709"/>
        <w:rPr>
          <w:rFonts w:ascii="Times New Roman" w:hAnsi="Times New Roman" w:cs="Times New Roman"/>
          <w:sz w:val="24"/>
          <w:szCs w:val="24"/>
          <w:lang w:val="en-US"/>
        </w:rPr>
      </w:pPr>
      <w:r w:rsidRPr="0074411C">
        <w:rPr>
          <w:rFonts w:ascii="Times New Roman" w:hAnsi="Times New Roman" w:cs="Times New Roman"/>
          <w:sz w:val="24"/>
          <w:szCs w:val="24"/>
          <w:lang w:val="en-US"/>
        </w:rPr>
        <w:t xml:space="preserve">Keywords: </w:t>
      </w:r>
      <w:r w:rsidRPr="0074411C">
        <w:rPr>
          <w:rFonts w:ascii="Times New Roman" w:hAnsi="Times New Roman" w:cs="Times New Roman"/>
          <w:sz w:val="24"/>
          <w:szCs w:val="24"/>
          <w:lang w:val="en"/>
        </w:rPr>
        <w:t>intellectual rights; an agreement; intellectual activity; inventions; Copyright; intellectual property.</w:t>
      </w:r>
    </w:p>
    <w:p w14:paraId="709AF927"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p>
    <w:p w14:paraId="04554FC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течение длительного времени в гражданское законодательство вносились изменения, которые регулировали распоряжения исключительными правами на результаты интеллектуальное деятельности, а также появились новые договорные конструкции, направленные на распоряжения денными правами. Вместе с тем, договорные отношения по созданию и использованию результатов интеллектуальной деятельности нуждаются в более детальном изменении, так как непосредственно договорные отношения в настоящее время и формируют рынок инновационных технологи, развитие которых является основополагающей целью в рамках развития современной экономической системы. </w:t>
      </w:r>
    </w:p>
    <w:p w14:paraId="57E2031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Помимо этого, достаточно часто нарушение интеллектуальных прав происходит не в рамках внедоговорных отношений, а именно при недобросовестном исполнении договоров по распоряжению исключительными правами.</w:t>
      </w:r>
    </w:p>
    <w:p w14:paraId="149E8BD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Е.А. Суханов подразделяет договорные обязательства в сфере интеллектуальных прав на две группы, а именно на обязательства по созданию новых объектов интеллектуальных </w:t>
      </w:r>
      <w:r>
        <w:rPr>
          <w:rFonts w:ascii="Times New Roman" w:hAnsi="Times New Roman" w:cs="Times New Roman"/>
          <w:bCs/>
          <w:sz w:val="24"/>
          <w:szCs w:val="24"/>
        </w:rPr>
        <w:lastRenderedPageBreak/>
        <w:t>прав и обязательства по использованию существующих охраноспособных результатов творческой деятельности</w:t>
      </w:r>
      <w:r>
        <w:rPr>
          <w:rStyle w:val="a7"/>
          <w:rFonts w:ascii="Times New Roman" w:hAnsi="Times New Roman" w:cs="Times New Roman"/>
          <w:bCs/>
          <w:sz w:val="24"/>
          <w:szCs w:val="24"/>
        </w:rPr>
        <w:footnoteReference w:id="325"/>
      </w:r>
      <w:r>
        <w:rPr>
          <w:rFonts w:ascii="Times New Roman" w:hAnsi="Times New Roman" w:cs="Times New Roman"/>
          <w:bCs/>
          <w:sz w:val="24"/>
          <w:szCs w:val="24"/>
        </w:rPr>
        <w:t xml:space="preserve">. </w:t>
      </w:r>
    </w:p>
    <w:p w14:paraId="216766D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В группу обязательств по созданию новых объектов интеллектуальной собственности включаются договоры, которые регулируют отношения, связанные с приобретением исключительных прав на создаваемые объекты интеллектуальной собственности. В данном случае мы говорим о договорах заказа, когда заказчик обращается за выполнением тех или иных работ, связанных с производством объектов интеллектуальной собственности. При этом под договором авторского заказа признается только такой договор, в рамках которого субъектами является автор и заказчик. А автором может быть только гражданин творческим трудом которого был создан результат интеллектуальной деятельности. Договор авторского заказа может быть заключен только с автором.</w:t>
      </w:r>
    </w:p>
    <w:p w14:paraId="16E0EE4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При этом в данном договоре закрепляются условия по поводу дальнейшего использования произведения. Соответственно, в нем могут содержатся положения, которые закрепляют право на отчуждение заказчику исключительного права на произведение, созданное автором, а также его использования в пределах, которые также могут устанавливаться в договоре. К договору авторского заказа применяются положения ГК РФ о договоре об отчуждении исключительного права или же положения о лицензионном договоре.</w:t>
      </w:r>
    </w:p>
    <w:p w14:paraId="4E218E5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Следует учитывать, что к договору авторского заказа могут применятся и положения о дополнительном льготном сроке. Он проявляется в том, что когда срок исполнения наступает, а автор еще не выполнил заказ, то, при наличии уважительных причин, для завершения создания произведения предоставляются дополнительный льготный срок, продолжительность которого может составлять одну четвертую от срока, установленного договором. При этом срок, по соглашению сторон, может быть установлен и более длительным, что нашло подтверждение в рамках судебной практики</w:t>
      </w:r>
      <w:r>
        <w:rPr>
          <w:rStyle w:val="a7"/>
          <w:rFonts w:ascii="Times New Roman" w:hAnsi="Times New Roman" w:cs="Times New Roman"/>
          <w:bCs/>
          <w:sz w:val="24"/>
          <w:szCs w:val="24"/>
        </w:rPr>
        <w:footnoteReference w:id="326"/>
      </w:r>
      <w:r>
        <w:rPr>
          <w:rFonts w:ascii="Times New Roman" w:hAnsi="Times New Roman" w:cs="Times New Roman"/>
          <w:bCs/>
          <w:sz w:val="24"/>
          <w:szCs w:val="24"/>
        </w:rPr>
        <w:t xml:space="preserve">. </w:t>
      </w:r>
    </w:p>
    <w:p w14:paraId="785E0E5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bCs/>
          <w:sz w:val="24"/>
          <w:szCs w:val="24"/>
        </w:rPr>
        <w:t>Наиболее часто имеют место нарушения в виде несоблюдения срока, а также отступления автором от указаний заказчика. При этом размер ответственности автора произведения ограничивается суммой реального ущерба. Большинство ученых считают ограниченную ответственность авторов справедливой, так как создание объекта происходит в рамках творческого процесса, который находится за пределами правового поля</w:t>
      </w:r>
      <w:r>
        <w:rPr>
          <w:rStyle w:val="a7"/>
          <w:rFonts w:ascii="Times New Roman" w:hAnsi="Times New Roman" w:cs="Times New Roman"/>
          <w:sz w:val="24"/>
          <w:szCs w:val="24"/>
        </w:rPr>
        <w:footnoteReference w:id="327"/>
      </w:r>
      <w:r>
        <w:rPr>
          <w:rFonts w:ascii="Times New Roman" w:hAnsi="Times New Roman" w:cs="Times New Roman"/>
          <w:sz w:val="24"/>
          <w:szCs w:val="24"/>
        </w:rPr>
        <w:t>. Закрепляется только один случай, когда законодательно предусмотрена обязанность автора на возмещение убытков. Данным случаем является решение автора об отзыве своего решения на обнародование произведения. С автора может быть также взыскана неустойка, а также автор должен возвратить заказчику аванс. Вместе с тем, общий размер всех этих выплат также ограничивается суммой реального ущерба, которой был причинен заказчику. Более того, автор может быть освобожден от ответственности за неисполнение договора, если ему удастся доказать, что имела место творческая неудача.</w:t>
      </w:r>
    </w:p>
    <w:p w14:paraId="4B5A34E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Мы рассмотрели наиболее часто встречающиеся нарушения со стороны автора, в то время, как наиболее частым нарушением договора со стороны издателя является невыплата причитающихся автору средств в полном объеме, а также превышении своих прав на распоряжение произведением. </w:t>
      </w:r>
    </w:p>
    <w:p w14:paraId="5EABFBB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Говоря об отличии договора авторского заказа следует его отличать от подрядных договоров. Основное отличие проявляется в особом предмете договора. Договоры авторского заказа направлены на создание результатов интеллектуальной деятельности, в рамках которых возникают вопросы об интеллектуальных правах на них, в то время как договоры подряда нацелены на создание материальных объектов, в отношении которых могут возникнуть вопросы по поводу вещного права на них. </w:t>
      </w:r>
    </w:p>
    <w:p w14:paraId="06E3D8F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 xml:space="preserve">Вторую группу договоров в сфере права интеллектуальной собственности составляют обязательства по распоряжению исключительными правами на созданные результаты творческой деятельности. При этом известны два способа распоряжения данными правами, а именно посредством отчуждения исключительного права и посредством предоставления права на использование произведения. При этом как в науке, так и в законодательстве, как правило, выделяют две конструкции, которые оформляют это распоряжение, а именно: договоры об отчуждении исключительного права и лицензионные договоры. </w:t>
      </w:r>
    </w:p>
    <w:p w14:paraId="6E068A5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При этом заключение данных договоров, в отличие от договоров первой группы, является возможным между приобретателем права и правообладателем в отношении прав на уже созданный объект интеллектуального права.</w:t>
      </w:r>
    </w:p>
    <w:p w14:paraId="0BF6F27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соответствии с договором об отчуждении исключительного права правообладателем происходит отчуждение принадлежащего ему исключительного права на результат интеллектуальной деятельности в полном объеме. В свою очередь приобретателю данное право в полном объеме переходит. В случае, когда это необходимо, договор подлежит государственной регистрации. </w:t>
      </w:r>
    </w:p>
    <w:p w14:paraId="1BBFBF2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При этом договор на отчуждение исключительного права заключается в письменной форме. Однако, на практике имеют место вопросы касательно момента перехода исключительного права. Так, по общему правилу, оно переходит в момент заключения договора. Если же договор подлежит государственной регистрации, то данное право переходит в момент ее совершения. Данная правовая конструкция во много напоминает конструкцию договора купли-продажи недвижимости. Применение данной аналогии является важным ввиду того, что может иметь место случай аналогичный случаям, имеющим место при купле-продаже недвижимого имущества, а именно когда одна из сторон уклоняется от регистрации отчуждения исключительного права или предоставления права использования объекта. Считаем, что следует предусмотреть такой механизм, который был бы схож со специальным способом защиты права, а именно требованием регистрации перехода исключительного права. </w:t>
      </w:r>
    </w:p>
    <w:p w14:paraId="2616114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Выплаты вознаграждения могут быть как фиксированные разовые, так и периодические, которые могут представлять из себя определенные процентные отчисления от полученного дохода. Также форма выплаты может быть закреплена иным договорным способом.  </w:t>
      </w:r>
    </w:p>
    <w:p w14:paraId="37A22BF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Говоря о лицензионном договоре следует отметить, что он предоставляет заказчику право на использование результата интеллектуальной собственности в рамках предусмотренных пределах. Лицензия может быть как исключительная, так и неисключительная. По исключительной лицензии заказчику переходят исключительные права на объект без сохранения за правообладателем права заключения лицензионных договоров с другими лицами. По неисключительной лицензии такое право за правообладателем сохраняется. В интересах правообладателя, если не устанавливается иное, ГК РФ презюмирует установление неисключительной лицензии. Лицензионный договор заключается в письменной форме и не подлежит государственной регистрации</w:t>
      </w:r>
      <w:r>
        <w:rPr>
          <w:rStyle w:val="a7"/>
          <w:rFonts w:ascii="Times New Roman" w:hAnsi="Times New Roman" w:cs="Times New Roman"/>
          <w:sz w:val="24"/>
          <w:szCs w:val="24"/>
        </w:rPr>
        <w:footnoteReference w:id="328"/>
      </w:r>
      <w:r>
        <w:rPr>
          <w:rFonts w:ascii="Times New Roman" w:hAnsi="Times New Roman" w:cs="Times New Roman"/>
          <w:sz w:val="24"/>
          <w:szCs w:val="24"/>
        </w:rPr>
        <w:t>.</w:t>
      </w:r>
    </w:p>
    <w:p w14:paraId="637D3B4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настоящее время в отечественной юриспруденции происходит активное обсуждение открытых лицензий. В зарубежном праве они носят наименование также свободных лицензий</w:t>
      </w:r>
      <w:r>
        <w:rPr>
          <w:rStyle w:val="a7"/>
          <w:rFonts w:ascii="Times New Roman" w:hAnsi="Times New Roman" w:cs="Times New Roman"/>
          <w:sz w:val="24"/>
          <w:szCs w:val="24"/>
        </w:rPr>
        <w:footnoteReference w:id="329"/>
      </w:r>
      <w:r>
        <w:rPr>
          <w:rFonts w:ascii="Times New Roman" w:hAnsi="Times New Roman" w:cs="Times New Roman"/>
          <w:sz w:val="24"/>
          <w:szCs w:val="24"/>
        </w:rPr>
        <w:t>. В действующим российском законодательстве не содержится необходимого правового регулирования отношений по свободному использованию произведений. При этом следует иметь ввиду, что в настоящее время большинство компьютерных программ распространяются по сети Интернет бесплатно или на возмездной основе неопределенному кругу лиц.</w:t>
      </w:r>
    </w:p>
    <w:p w14:paraId="56590F5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 xml:space="preserve">В соответствии с действующим законодательством, данный лицензионный договор представляет из себя </w:t>
      </w:r>
      <w:r>
        <w:rPr>
          <w:rFonts w:ascii="Times New Roman" w:hAnsi="Times New Roman" w:cs="Times New Roman"/>
          <w:bCs/>
          <w:sz w:val="24"/>
          <w:szCs w:val="24"/>
        </w:rPr>
        <w:t>гражданско-правовой договор присоединения</w:t>
      </w:r>
      <w:r>
        <w:rPr>
          <w:rStyle w:val="a7"/>
          <w:rFonts w:ascii="Times New Roman" w:hAnsi="Times New Roman" w:cs="Times New Roman"/>
          <w:bCs/>
          <w:sz w:val="24"/>
          <w:szCs w:val="24"/>
        </w:rPr>
        <w:footnoteReference w:id="330"/>
      </w:r>
      <w:r>
        <w:rPr>
          <w:rFonts w:ascii="Times New Roman" w:hAnsi="Times New Roman" w:cs="Times New Roman"/>
          <w:sz w:val="24"/>
          <w:szCs w:val="24"/>
        </w:rPr>
        <w:t>. Условия договора могут быть изложены на приобретаемой упаковке товара либо в сети интернет при установке или использовании соответствующего продукта. Условия такой лицензии должны быть доступны неопределенному кругу лиц.</w:t>
      </w:r>
    </w:p>
    <w:p w14:paraId="31AEDEB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качестве предмета договора указано </w:t>
      </w:r>
      <w:r>
        <w:rPr>
          <w:rFonts w:ascii="Times New Roman" w:hAnsi="Times New Roman" w:cs="Times New Roman"/>
          <w:bCs/>
          <w:sz w:val="24"/>
          <w:szCs w:val="24"/>
        </w:rPr>
        <w:t>право использования</w:t>
      </w:r>
      <w:r>
        <w:rPr>
          <w:rFonts w:ascii="Times New Roman" w:hAnsi="Times New Roman" w:cs="Times New Roman"/>
          <w:sz w:val="24"/>
          <w:szCs w:val="24"/>
        </w:rPr>
        <w:t xml:space="preserve"> произведения науки, литературы или искусства в предусмотренных пределах. Автор может предоставить лицензиату право на использование принадлежащего ему произведения для создания нового результата интеллектуальной деятельности. По общему правилу открытая лицензия является безвозмездной, однако в договоре может быть предусмотрено иное.</w:t>
      </w:r>
    </w:p>
    <w:p w14:paraId="1CA3D9D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Если в договоре не определен срок действия открытой лицензии, то договор считается заключенным на пять лет. Территория действия также может быть определена в договоре. Вместе с тем, если не содержится иное, то использование произведения допускается на территории всего мира.</w:t>
      </w:r>
    </w:p>
    <w:p w14:paraId="54E8FD7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Таким образом, мы рассмотрели договорное регулирование отношений по созданию и использованию результатов интеллектуальной деятельности. По итогам рассматриваемого вопроса считаем возможным сделать следующие выводы:</w:t>
      </w:r>
    </w:p>
    <w:p w14:paraId="0951DCA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w:hAnsi="Times New Roman" w:cs="Times New Roman"/>
          <w:bCs/>
          <w:sz w:val="24"/>
          <w:szCs w:val="24"/>
        </w:rPr>
      </w:pPr>
      <w:r>
        <w:rPr>
          <w:rFonts w:ascii="Times New Roman" w:hAnsi="Times New Roman" w:cs="Times New Roman"/>
          <w:sz w:val="24"/>
          <w:szCs w:val="24"/>
        </w:rPr>
        <w:t xml:space="preserve">- </w:t>
      </w:r>
      <w:r>
        <w:rPr>
          <w:rFonts w:ascii="Times New Roman" w:hAnsi="Times New Roman" w:cs="Times New Roman"/>
          <w:bCs/>
          <w:sz w:val="24"/>
          <w:szCs w:val="24"/>
        </w:rPr>
        <w:t>договорные обязательства в сфере интеллектуальных прав на две группы, а именно на обязательства по созданию новых объектов интеллектуальных прав и обязательства по использованию существующих охраноспособных результатов творческой деятельности;</w:t>
      </w:r>
    </w:p>
    <w:p w14:paraId="248B0BF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bCs/>
          <w:sz w:val="24"/>
          <w:szCs w:val="24"/>
        </w:rPr>
        <w:t xml:space="preserve">- </w:t>
      </w:r>
      <w:r>
        <w:rPr>
          <w:rFonts w:ascii="Times New Roman" w:hAnsi="Times New Roman" w:cs="Times New Roman"/>
          <w:sz w:val="24"/>
          <w:szCs w:val="24"/>
        </w:rPr>
        <w:t>на практике имеют место вопросы касательно момента перехода исключительного права. Так, по общему правилу, оно переходит в момент заключения договора. Если же договор подлежит государственной регистрации, то данное право переходит в момент ее совершения. Данная правовая конструкция во много напоминает конструкцию договора купли-продажи недвижимости. Применение данной аналогии является важным ввиду того, что может иметь место случай аналогичный случаям, имеющим место при купле-продаже недвижимого имущества, а именно когда одна из сторон уклоняется от регистрации отчуждения исключительного права или предоставления права использования объекта. Считаем, что следует предусмотреть такой механизм, который был бы схож со специальным способом защиты права, а именно требованием регистрации перехода исключительного права;</w:t>
      </w:r>
    </w:p>
    <w:p w14:paraId="05571B5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необходимо более тщательная проработка касательно открытых лицензий, имеющих место, в больше степени, в сети Интернет. На практике, данные лицензии являются одними из самых распространенных в настоящее время, однако, их правовое регулирования является недостаточным. </w:t>
      </w:r>
    </w:p>
    <w:p w14:paraId="79C1725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sz w:val="24"/>
          <w:szCs w:val="24"/>
          <w:shd w:val="clear" w:color="auto" w:fill="FFFFFF"/>
        </w:rPr>
      </w:pPr>
    </w:p>
    <w:p w14:paraId="0D4C25E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sz w:val="24"/>
          <w:szCs w:val="24"/>
          <w:shd w:val="clear" w:color="auto" w:fill="FFFFFF"/>
        </w:rPr>
      </w:pPr>
      <w:r>
        <w:rPr>
          <w:rFonts w:ascii="Times New Roman" w:hAnsi="Times New Roman" w:cs="Times New Roman"/>
          <w:b/>
          <w:sz w:val="24"/>
          <w:szCs w:val="24"/>
          <w:shd w:val="clear" w:color="auto" w:fill="FFFFFF"/>
        </w:rPr>
        <w:t>Список литературы</w:t>
      </w:r>
    </w:p>
    <w:p w14:paraId="3D56247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sz w:val="24"/>
          <w:szCs w:val="24"/>
          <w:shd w:val="clear" w:color="auto" w:fill="FFFFFF"/>
        </w:rPr>
      </w:pPr>
    </w:p>
    <w:p w14:paraId="2CC0FEFC" w14:textId="77777777" w:rsidR="001B6C3B" w:rsidRDefault="001B6C3B" w:rsidP="00E3198A">
      <w:pPr>
        <w:pStyle w:val="a5"/>
        <w:numPr>
          <w:ilvl w:val="0"/>
          <w:numId w:val="2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0" w:firstLine="709"/>
        <w:jc w:val="both"/>
        <w:rPr>
          <w:rFonts w:ascii="Times New Roman" w:hAnsi="Times New Roman" w:cs="Times New Roman"/>
          <w:sz w:val="24"/>
          <w:szCs w:val="24"/>
        </w:rPr>
      </w:pPr>
      <w:r>
        <w:rPr>
          <w:rFonts w:ascii="Times New Roman" w:hAnsi="Times New Roman" w:cs="Times New Roman"/>
          <w:i/>
          <w:sz w:val="24"/>
          <w:szCs w:val="24"/>
        </w:rPr>
        <w:t xml:space="preserve">Войниканис Е.А. </w:t>
      </w:r>
      <w:hyperlink r:id="rId41" w:history="1">
        <w:r>
          <w:rPr>
            <w:rStyle w:val="a9"/>
            <w:rFonts w:ascii="Times New Roman" w:hAnsi="Times New Roman" w:cs="Times New Roman"/>
            <w:sz w:val="24"/>
            <w:szCs w:val="24"/>
          </w:rPr>
          <w:t>Право интеллектуальной собственности в цифровую эпоху</w:t>
        </w:r>
      </w:hyperlink>
      <w:r>
        <w:rPr>
          <w:rFonts w:ascii="Times New Roman" w:hAnsi="Times New Roman" w:cs="Times New Roman"/>
          <w:sz w:val="24"/>
          <w:szCs w:val="24"/>
        </w:rPr>
        <w:t>: парадигма баланса и гибкости. М., 2013. – 342 с.</w:t>
      </w:r>
    </w:p>
    <w:p w14:paraId="0302CDA9" w14:textId="77777777" w:rsidR="001B6C3B" w:rsidRDefault="001B6C3B" w:rsidP="00E3198A">
      <w:pPr>
        <w:pStyle w:val="a5"/>
        <w:numPr>
          <w:ilvl w:val="0"/>
          <w:numId w:val="2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0" w:firstLine="709"/>
        <w:jc w:val="both"/>
        <w:rPr>
          <w:rFonts w:ascii="Times New Roman" w:hAnsi="Times New Roman" w:cs="Times New Roman"/>
          <w:sz w:val="24"/>
          <w:szCs w:val="24"/>
        </w:rPr>
      </w:pPr>
      <w:r>
        <w:rPr>
          <w:rFonts w:ascii="Times New Roman" w:hAnsi="Times New Roman" w:cs="Times New Roman"/>
          <w:i/>
          <w:sz w:val="24"/>
          <w:szCs w:val="24"/>
        </w:rPr>
        <w:t xml:space="preserve">Волынкина М.В. </w:t>
      </w:r>
      <w:hyperlink r:id="rId42" w:history="1">
        <w:r>
          <w:rPr>
            <w:rStyle w:val="a9"/>
            <w:rFonts w:ascii="Times New Roman" w:hAnsi="Times New Roman" w:cs="Times New Roman"/>
            <w:sz w:val="24"/>
            <w:szCs w:val="24"/>
          </w:rPr>
          <w:t>Концепция исключительных прав</w:t>
        </w:r>
      </w:hyperlink>
      <w:r>
        <w:rPr>
          <w:rFonts w:ascii="Times New Roman" w:hAnsi="Times New Roman" w:cs="Times New Roman"/>
          <w:sz w:val="24"/>
          <w:szCs w:val="24"/>
        </w:rPr>
        <w:t xml:space="preserve"> и понятие интеллектуальной собственности в гражданском праве // Журнал российского права. - 2016. - № 6. - С. 54-59.</w:t>
      </w:r>
    </w:p>
    <w:p w14:paraId="1D988425" w14:textId="77777777" w:rsidR="001B6C3B" w:rsidRDefault="00EE7838" w:rsidP="00E3198A">
      <w:pPr>
        <w:pStyle w:val="a5"/>
        <w:numPr>
          <w:ilvl w:val="0"/>
          <w:numId w:val="2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0" w:firstLine="709"/>
        <w:jc w:val="both"/>
        <w:rPr>
          <w:rFonts w:ascii="Times New Roman" w:hAnsi="Times New Roman" w:cs="Times New Roman"/>
          <w:sz w:val="24"/>
          <w:szCs w:val="24"/>
        </w:rPr>
      </w:pPr>
      <w:hyperlink r:id="rId43" w:history="1">
        <w:r w:rsidR="001B6C3B">
          <w:rPr>
            <w:rStyle w:val="a9"/>
            <w:rFonts w:ascii="Times New Roman" w:hAnsi="Times New Roman" w:cs="Times New Roman"/>
            <w:sz w:val="24"/>
            <w:szCs w:val="24"/>
          </w:rPr>
          <w:t>Комментарий</w:t>
        </w:r>
      </w:hyperlink>
      <w:r w:rsidR="001B6C3B">
        <w:rPr>
          <w:rFonts w:ascii="Times New Roman" w:hAnsi="Times New Roman" w:cs="Times New Roman"/>
          <w:sz w:val="24"/>
          <w:szCs w:val="24"/>
        </w:rPr>
        <w:t xml:space="preserve"> к части четвертой Гражданского кодекса Российской Федерации (постатейный) / Под ред. Э.П. Гаврилова, В.И. Еременко. - М., 2018. – 768 с.</w:t>
      </w:r>
    </w:p>
    <w:p w14:paraId="7F123850" w14:textId="77777777" w:rsidR="001B6C3B" w:rsidRDefault="001B6C3B" w:rsidP="00E3198A">
      <w:pPr>
        <w:pStyle w:val="a5"/>
        <w:numPr>
          <w:ilvl w:val="0"/>
          <w:numId w:val="2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ascii="Times New Roman" w:hAnsi="Times New Roman" w:cs="Times New Roman"/>
          <w:sz w:val="24"/>
          <w:szCs w:val="24"/>
        </w:rPr>
      </w:pPr>
      <w:r>
        <w:rPr>
          <w:rFonts w:ascii="Times New Roman" w:hAnsi="Times New Roman" w:cs="Times New Roman"/>
          <w:sz w:val="24"/>
          <w:szCs w:val="24"/>
        </w:rPr>
        <w:t>Российское гражданское право: Учебник: В 2 т. / Отв. ред. Е.А. Суханов. - М., 2016. Т. 1. – 726 с.</w:t>
      </w:r>
    </w:p>
    <w:p w14:paraId="790740BB" w14:textId="77777777" w:rsidR="001B6C3B" w:rsidRDefault="001B6C3B" w:rsidP="00E3198A">
      <w:pPr>
        <w:pStyle w:val="a5"/>
        <w:numPr>
          <w:ilvl w:val="0"/>
          <w:numId w:val="2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ascii="Times New Roman" w:hAnsi="Times New Roman" w:cs="Times New Roman"/>
          <w:sz w:val="24"/>
          <w:szCs w:val="24"/>
        </w:rPr>
      </w:pPr>
      <w:r>
        <w:rPr>
          <w:rFonts w:ascii="Times New Roman" w:hAnsi="Times New Roman" w:cs="Times New Roman"/>
          <w:sz w:val="24"/>
          <w:szCs w:val="24"/>
        </w:rPr>
        <w:t xml:space="preserve">Соболь И.А. </w:t>
      </w:r>
      <w:hyperlink r:id="rId44" w:history="1">
        <w:r>
          <w:rPr>
            <w:rStyle w:val="a9"/>
            <w:rFonts w:ascii="Times New Roman" w:hAnsi="Times New Roman" w:cs="Times New Roman"/>
            <w:sz w:val="24"/>
            <w:szCs w:val="24"/>
          </w:rPr>
          <w:t>К вопросу о понятии</w:t>
        </w:r>
      </w:hyperlink>
      <w:r>
        <w:rPr>
          <w:rFonts w:ascii="Times New Roman" w:hAnsi="Times New Roman" w:cs="Times New Roman"/>
          <w:sz w:val="24"/>
          <w:szCs w:val="24"/>
        </w:rPr>
        <w:t xml:space="preserve"> свободной (открытой) лицензии в авторском праве России // Право и экономика. - 2014. - № 4. - С. 39-46.</w:t>
      </w:r>
    </w:p>
    <w:p w14:paraId="264B46E3" w14:textId="77777777" w:rsidR="001B6C3B" w:rsidRDefault="001B6C3B" w:rsidP="00E3198A">
      <w:pPr>
        <w:pStyle w:val="a5"/>
        <w:numPr>
          <w:ilvl w:val="0"/>
          <w:numId w:val="2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ascii="Times New Roman" w:hAnsi="Times New Roman" w:cs="Times New Roman"/>
          <w:sz w:val="24"/>
          <w:szCs w:val="24"/>
        </w:rPr>
      </w:pPr>
      <w:r>
        <w:rPr>
          <w:rFonts w:ascii="Times New Roman" w:hAnsi="Times New Roman" w:cs="Times New Roman"/>
          <w:sz w:val="24"/>
          <w:szCs w:val="24"/>
        </w:rPr>
        <w:t xml:space="preserve">Постановления Суда по интеллектуальным правам от 22 июля 2014 года № С01-639/2014 по делу </w:t>
      </w:r>
      <w:hyperlink r:id="rId45" w:history="1">
        <w:r>
          <w:rPr>
            <w:rStyle w:val="a9"/>
            <w:rFonts w:ascii="Times New Roman" w:hAnsi="Times New Roman" w:cs="Times New Roman"/>
            <w:sz w:val="24"/>
            <w:szCs w:val="24"/>
          </w:rPr>
          <w:t>№ А40-138710/2013</w:t>
        </w:r>
      </w:hyperlink>
      <w:r>
        <w:rPr>
          <w:rFonts w:ascii="Times New Roman" w:hAnsi="Times New Roman" w:cs="Times New Roman"/>
          <w:sz w:val="24"/>
          <w:szCs w:val="24"/>
        </w:rPr>
        <w:t xml:space="preserve"> // Справочная Правовая Система «КонсультантПлюс».</w:t>
      </w:r>
    </w:p>
    <w:p w14:paraId="30EB3D2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sectPr w:rsidR="001B6C3B">
          <w:footnotePr>
            <w:numRestart w:val="eachPage"/>
          </w:footnotePr>
          <w:pgSz w:w="11906" w:h="16838"/>
          <w:pgMar w:top="1134" w:right="1134" w:bottom="1134" w:left="1134" w:header="708" w:footer="708" w:gutter="0"/>
          <w:cols w:space="720"/>
        </w:sectPr>
      </w:pPr>
    </w:p>
    <w:p w14:paraId="24A08E6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4820"/>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lastRenderedPageBreak/>
        <w:t>УДК 347.6</w:t>
      </w:r>
    </w:p>
    <w:p w14:paraId="3E8403D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Fonts w:ascii="Times New Roman" w:eastAsia="Times New Roman" w:hAnsi="Times New Roman" w:cs="Times New Roman"/>
          <w:b/>
          <w:sz w:val="24"/>
          <w:szCs w:val="24"/>
          <w:lang w:eastAsia="ru-RU"/>
        </w:rPr>
      </w:pPr>
    </w:p>
    <w:p w14:paraId="6993798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Степанян Евгения Кароевна</w:t>
      </w:r>
    </w:p>
    <w:p w14:paraId="59AA6C5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Stepanyan Eugene Caroina</w:t>
      </w:r>
    </w:p>
    <w:p w14:paraId="7A0B0AD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магистр Федеральное государственное бюджетное образовательное учреждение высшего образования «Кубанский государственный аграрный университет имени И.Т. Трубилина»</w:t>
      </w:r>
    </w:p>
    <w:p w14:paraId="14ABADA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Fonts w:ascii="Times New Roman" w:eastAsia="Times New Roman" w:hAnsi="Times New Roman" w:cs="Times New Roman"/>
          <w:sz w:val="24"/>
          <w:szCs w:val="24"/>
          <w:lang w:val="en-US" w:eastAsia="ru-RU"/>
        </w:rPr>
      </w:pPr>
      <w:r>
        <w:rPr>
          <w:rFonts w:ascii="Times New Roman" w:eastAsia="Times New Roman" w:hAnsi="Times New Roman" w:cs="Times New Roman"/>
          <w:sz w:val="24"/>
          <w:szCs w:val="24"/>
          <w:lang w:val="en-US" w:eastAsia="ru-RU"/>
        </w:rPr>
        <w:t>Federal State Budgetary Educational Institution of Higher Education</w:t>
      </w:r>
    </w:p>
    <w:p w14:paraId="1931A78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Fonts w:ascii="Times New Roman" w:eastAsia="Times New Roman" w:hAnsi="Times New Roman" w:cs="Times New Roman"/>
          <w:sz w:val="24"/>
          <w:szCs w:val="24"/>
          <w:lang w:val="en-US" w:eastAsia="ru-RU"/>
        </w:rPr>
      </w:pPr>
      <w:r>
        <w:rPr>
          <w:rFonts w:ascii="Times New Roman" w:eastAsia="Times New Roman" w:hAnsi="Times New Roman" w:cs="Times New Roman"/>
          <w:sz w:val="24"/>
          <w:szCs w:val="24"/>
          <w:lang w:val="en-US" w:eastAsia="ru-RU"/>
        </w:rPr>
        <w:t>«Kuban State Agrarian University named after I.T. Trubilin»</w:t>
      </w:r>
    </w:p>
    <w:p w14:paraId="20F4A0F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Российская Федерация, г. Краснодар</w:t>
      </w:r>
    </w:p>
    <w:p w14:paraId="63CEE82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Russian Federation, Krasnodar</w:t>
      </w:r>
    </w:p>
    <w:p w14:paraId="13AE3A7A" w14:textId="77777777" w:rsidR="001B6C3B" w:rsidRDefault="00EE7838"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Style w:val="a9"/>
        </w:rPr>
      </w:pPr>
      <w:hyperlink r:id="rId46" w:history="1">
        <w:r w:rsidR="001B6C3B">
          <w:rPr>
            <w:rStyle w:val="a9"/>
            <w:rFonts w:ascii="Times New Roman" w:hAnsi="Times New Roman" w:cs="Times New Roman"/>
            <w:sz w:val="24"/>
            <w:szCs w:val="24"/>
            <w:shd w:val="clear" w:color="auto" w:fill="FFFFFF"/>
          </w:rPr>
          <w:t>stepanyanjk@gmail.com</w:t>
        </w:r>
      </w:hyperlink>
    </w:p>
    <w:p w14:paraId="1E06274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pPr>
    </w:p>
    <w:p w14:paraId="6D1D70C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ПРАВОВЫЕ ПРОБЛЕМЫ СУРРОГАТНОГО МАТЕРИНСТВА В РФ</w:t>
      </w:r>
    </w:p>
    <w:p w14:paraId="1D7DA0E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eastAsia="Times New Roman" w:hAnsi="Times New Roman" w:cs="Times New Roman"/>
          <w:b/>
          <w:sz w:val="24"/>
          <w:szCs w:val="24"/>
          <w:lang w:eastAsia="ru-RU"/>
        </w:rPr>
      </w:pPr>
    </w:p>
    <w:p w14:paraId="7791659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eastAsia="Times New Roman" w:hAnsi="Times New Roman" w:cs="Times New Roman"/>
          <w:b/>
          <w:sz w:val="24"/>
          <w:szCs w:val="24"/>
          <w:lang w:val="en-US" w:eastAsia="ru-RU"/>
        </w:rPr>
      </w:pPr>
      <w:r>
        <w:rPr>
          <w:rFonts w:ascii="Times New Roman" w:hAnsi="Times New Roman" w:cs="Times New Roman"/>
          <w:b/>
          <w:sz w:val="24"/>
          <w:szCs w:val="24"/>
          <w:lang w:val="en-US"/>
        </w:rPr>
        <w:t>LEGAL PROBLEMS OF SURROGACY IN THE RUSSIAN FEDERATION</w:t>
      </w:r>
    </w:p>
    <w:p w14:paraId="1FF38F9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b/>
          <w:sz w:val="24"/>
          <w:szCs w:val="24"/>
          <w:lang w:val="en-US" w:eastAsia="ru-RU"/>
        </w:rPr>
      </w:pPr>
    </w:p>
    <w:p w14:paraId="5DD7D0F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b/>
          <w:sz w:val="24"/>
          <w:szCs w:val="24"/>
          <w:lang w:val="en-US" w:eastAsia="ru-RU"/>
        </w:rPr>
      </w:pPr>
    </w:p>
    <w:p w14:paraId="3B77A5E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Аннотация:</w:t>
      </w:r>
      <w:r>
        <w:rPr>
          <w:rFonts w:ascii="Times New Roman" w:eastAsia="Times New Roman" w:hAnsi="Times New Roman" w:cs="Times New Roman"/>
          <w:i/>
          <w:sz w:val="24"/>
          <w:szCs w:val="24"/>
          <w:lang w:eastAsia="ru-RU"/>
        </w:rPr>
        <w:t xml:space="preserve"> </w:t>
      </w:r>
      <w:r>
        <w:rPr>
          <w:rFonts w:ascii="Times New Roman" w:eastAsia="Times New Roman" w:hAnsi="Times New Roman" w:cs="Times New Roman"/>
          <w:sz w:val="24"/>
          <w:szCs w:val="24"/>
          <w:lang w:eastAsia="ru-RU"/>
        </w:rPr>
        <w:t xml:space="preserve">В данной научной статье представлен спектр правовых пробелов, который на прямую связан с реализацией программы становления института суррогатного материнства в РФ. Проанализирован понятийный аппарат и применение на практике данной программы. Рассмотрены различные теоретические и правовые проблемы. Также были предложены пути их решения. В работе проведено изучение правовых вопросов в сфере защиты участников суррогатного материнства. Представлены современные тенденции в отношении развития и становления института суррогатного материнства в РФ.  </w:t>
      </w:r>
    </w:p>
    <w:p w14:paraId="7823C45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p>
    <w:p w14:paraId="0F3107E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Ключевые слова: суррогатная мать, биологические родители, суррогатное материнство, репродуктивная технология, договор суррогатного материнства.   </w:t>
      </w:r>
    </w:p>
    <w:p w14:paraId="6708831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p>
    <w:p w14:paraId="4C997A8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val="en-US" w:eastAsia="ru-RU"/>
        </w:rPr>
      </w:pPr>
      <w:r>
        <w:rPr>
          <w:rFonts w:ascii="Times New Roman" w:eastAsia="Times New Roman" w:hAnsi="Times New Roman" w:cs="Times New Roman"/>
          <w:sz w:val="24"/>
          <w:szCs w:val="24"/>
          <w:lang w:val="en-US" w:eastAsia="ru-RU"/>
        </w:rPr>
        <w:t xml:space="preserve">Annotation: This scientific article presents a range of legal gaps that are directly related to the implementation of the program for the establishment of the Institute of surrogacy in the Russian Federation. The conceptual apparatus and practical application of this program are analyzed. Various theoretical and legal problems are considered. Ways to solve them were also suggested. The paper examines legal issues in the field of protection of surrogate motherhood participants. The article presents current trends in the development and formation of the Institute of surrogate motherhood in the Russian Federation. </w:t>
      </w:r>
    </w:p>
    <w:p w14:paraId="36FE1B8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val="en-US" w:eastAsia="ru-RU"/>
        </w:rPr>
      </w:pPr>
    </w:p>
    <w:p w14:paraId="4D71FFE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val="en-US" w:eastAsia="ru-RU"/>
        </w:rPr>
      </w:pPr>
      <w:r>
        <w:rPr>
          <w:rFonts w:ascii="Times New Roman" w:eastAsia="Times New Roman" w:hAnsi="Times New Roman" w:cs="Times New Roman"/>
          <w:sz w:val="24"/>
          <w:szCs w:val="24"/>
          <w:lang w:val="en-US" w:eastAsia="ru-RU"/>
        </w:rPr>
        <w:t>Keywords: surrogate mother, biological parents, surrogate motherhood, reproductive technology, surrogacy contract.</w:t>
      </w:r>
    </w:p>
    <w:p w14:paraId="2972105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val="en-US" w:eastAsia="ru-RU"/>
        </w:rPr>
      </w:pPr>
    </w:p>
    <w:p w14:paraId="17E8A209" w14:textId="77777777" w:rsidR="001B6C3B" w:rsidRDefault="001B6C3B" w:rsidP="001B6C3B">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firstLine="709"/>
        <w:jc w:val="both"/>
        <w:textAlignment w:val="top"/>
      </w:pPr>
      <w:r>
        <w:t xml:space="preserve">На современном этапе правового и социального развития общества, которое стремится к демократическому строю самым важным и востребованным ресурсом, сокровищем, богатством и гарантом светлого и надежного будущего абсолютно каждого государства является личность. В правовом обществе на первый план выходит определенный спектр вопросов, касающийся процедуры, механизма воспроизводства, а принимаемые меры по улучшению и совершенствованию демографической ситуации применяются в соответствии с современными достижениями, нововведениями медицинской науки. К таким прогрессивным мерам можно отнести суррогатное материнство, правовое регулирование которого стало </w:t>
      </w:r>
      <w:r>
        <w:lastRenderedPageBreak/>
        <w:t>новым, еще не изученным правовым инструментом регулирования рождаемости в ее крайнем проявлении. Учитывая современный механизм глобализации, который меняет как общество, так и личность в целом, диктует свои правила социальной и правовой эволюции индивидуума, образование и становление института суррогатного материнства –вопрос времени. Практически все передовые страны используют данный институт в рамках социальной и политическо-демографической политики  и регулирование суррогатного материнства закреплено на должном уровне. Но, к сожалению, Российское право только становится на путь правового восприятия и использования на практики данной репродуктивной технологии. Законодательство, разрабатываемое с учетом современных демографических условий, тесно связанных с социально-экономической ситуацией в России и прогрессивным развитием науки в области воспроизводства человека, предоставило право гражданам Российской Федерации пользоваться услугами суррогатного материнства. Институт суррогатного материнства в настоящее время находится в зачаточном состоянии и заслуживает пристального внимания</w:t>
      </w:r>
      <w:r>
        <w:rPr>
          <w:rStyle w:val="a7"/>
        </w:rPr>
        <w:footnoteReference w:id="331"/>
      </w:r>
      <w:r>
        <w:t xml:space="preserve">.Для успешного освоения и использования достижений медицины жизненно необходимо подготовить правовую основу, провести анализ международного опыта, наладить соответствующее законодательное регулирование, начиная с федерального уровня и заканчивая уровнем местного самоуправления, учитывая специфику отдельно взятых субъектов РФ. В результате создания благоприятных социальных, политических, экономических, духовных и правовых условий образуется ряд проблем, связанных с коллизионным регулированием, наличием пробелов во внутреннем законодательстве. Данные вопросы также необходимо разрешить или максимально «сгладить». </w:t>
      </w:r>
    </w:p>
    <w:p w14:paraId="529CE5FF" w14:textId="77777777" w:rsidR="001B6C3B" w:rsidRDefault="001B6C3B" w:rsidP="001B6C3B">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firstLine="709"/>
        <w:jc w:val="both"/>
        <w:textAlignment w:val="top"/>
      </w:pPr>
      <w:r>
        <w:t>До декабря 1995 года в российском семейном праве не существовало такого понятия, как «суррогатная мать»</w:t>
      </w:r>
      <w:r>
        <w:rPr>
          <w:rStyle w:val="a7"/>
        </w:rPr>
        <w:footnoteReference w:id="332"/>
      </w:r>
      <w:r>
        <w:t>. Принятый в декабре 1995 года и вступивший в силу 1 марта 1996 года Семейный кодекс Российской Федерации (далее СК РФ) в пункте 4 статьи 51 признал суррогатное материнство юридическим фактом</w:t>
      </w:r>
      <w:r>
        <w:rPr>
          <w:rStyle w:val="a7"/>
        </w:rPr>
        <w:footnoteReference w:id="333"/>
      </w:r>
      <w:r>
        <w:t>. Сегодня правовое регулирование суррогатного материнства осуществляется в целом Семейным кодексом Российской Федерации, законом «Об актах гражданского состояния» от 15.11.1997 № 143-ФЗ</w:t>
      </w:r>
      <w:r>
        <w:rPr>
          <w:rStyle w:val="a7"/>
        </w:rPr>
        <w:footnoteReference w:id="334"/>
      </w:r>
      <w:r>
        <w:t xml:space="preserve"> (далее ФЗ «Об актах гражданского состояния».</w:t>
      </w:r>
    </w:p>
    <w:p w14:paraId="6830405A" w14:textId="77777777" w:rsidR="001B6C3B" w:rsidRDefault="001B6C3B" w:rsidP="001B6C3B">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firstLine="709"/>
        <w:jc w:val="both"/>
        <w:textAlignment w:val="top"/>
      </w:pPr>
      <w:r>
        <w:t>На современном этапе правового развития отечественной правовой системы, к сожалению, практически не урегулирован вопрос закрепления понятийного аппарата, регулирующего основные моменты суррогатного материнства. В Семейном кодексе Российской Федерации отсутствует понятийный раздел, который касается  правоотношений, связанных с суррогатным материнством и другими способами использования экстракорпорального оплодотворения в качестве методов вспомогательных репродуктивных технологий. Ранее отсутствие в семейном законодательстве такого понятия, как «суррогатная мать», приводило к тому, что признание прав генетических родителей на ребенка осуществлялось только через усыновление</w:t>
      </w:r>
      <w:r>
        <w:rPr>
          <w:rStyle w:val="a7"/>
        </w:rPr>
        <w:footnoteReference w:id="335"/>
      </w:r>
      <w:r>
        <w:t xml:space="preserve">. Такой выход совершенно не приемлем, не эффективен. Сегодня в соответствии с законодательством Российской Федерации лица, состоящие в браке между собой и реализовавшие письменное согласие на имплантацию эмбриона другой женщине для вынашивания беременности, могут быть зарегистрированы в ЗАГСе в качестве родителей ребенка, но только при условии согласия роженицы. Согласно регламенту, суррогатная мать должна подписать согласие на регистрацию родившегося у нее </w:t>
      </w:r>
      <w:r>
        <w:lastRenderedPageBreak/>
        <w:t>ребенка на имя генетических родителей, после чего ЗАГС выдает свидетельство о рождении на их имя. Данный правовой механизм обладает рядом пробелов и крайне не эффективный. Данный факт подтверждается огромным количеством судебной практики в рамках оспаривания родительских прав в связи с несогласием суррогатной матери.</w:t>
      </w:r>
    </w:p>
    <w:p w14:paraId="1E2198EF" w14:textId="77777777" w:rsidR="001B6C3B" w:rsidRDefault="001B6C3B" w:rsidP="001B6C3B">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firstLine="709"/>
        <w:jc w:val="both"/>
        <w:textAlignment w:val="top"/>
      </w:pPr>
      <w:r>
        <w:t>В современной практике стороны, обратившиеся за услугами суррогатной матери, заключают договор (контракт), регулирующий взаимоотношения сторон. Во многих случаях перед началом программы ЭКО генетические родители и суррогатная мать, заключившие договор, определяют условия выплаты вознаграждения и регистрации новорожденного. Ситуация осложняется тем, что с применением данного метода связаны сложные морально-правовые проблемы, а отношения, возникающие в результате его реализации, могут порождать множество споров об интересах его участников. Дело в том, что, в отличие от других видов договоров, договор суррогатного материнства, помимо сторон, его заключивших, также существенно затрагивает права и интересы ребенка, рожденного в результате осуществления этих отношений.</w:t>
      </w:r>
    </w:p>
    <w:p w14:paraId="09F4D34E" w14:textId="77777777" w:rsidR="001B6C3B" w:rsidRDefault="001B6C3B" w:rsidP="001B6C3B">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firstLine="709"/>
        <w:jc w:val="both"/>
        <w:textAlignment w:val="top"/>
      </w:pPr>
      <w:r>
        <w:t>В России существуют не только морально - нравственные и этические проблемы, но и существенные проблемы правового регулирования суррогатного материнства. Такие недостатки делают суррогатных матерей уязвимыми в некоторых ситуациях, в то время как в других страдают пары или отдельные лица, которые нанимают женщину для вынашивания и рождения своего ребенка. Среди этих законодательных пробелов можно выделить следующие проблемы: незаконные действия и вымогательство со стороны женщины, которая вынашивает и рожает ребенка. Исходя из законодательства, биологические родители могут зарегистрировать себя в качестве законных и официальных родителей только после получения согласия от суррогатной матери. Нередки случаи, когда такие родители, зная лазейки в законе, начинают требовать большие суммы вознаграждения, чем было предусмотрено в договоре между двумя сторонами, или недвижимого имущества. Необходимо также создать законодательный акт, который бы защищал биологических родителей от вымогательства и недопустимых действий со стороны женщины, родившей ребенка. Ведь бывают случаи, когда суррогатные матери, которые в начале беременности были полны решимости честно передать ребенка, после родов резко меняют свое мнение (и это вполне объяснимо естественными инстинктами) и начинают искать способы присвоить малыша. Они могут сделать это даже после официальной регистрации ребенка, передачи суммы, на которую они имеют право по договору, или имущества от своих законных родителей. В этом случае даже после выполнения всех условий договора женщина, родившая ребенка, по решению суда может оставить малыша, а родители останутся без денег и без ребенка</w:t>
      </w:r>
      <w:r>
        <w:rPr>
          <w:rStyle w:val="a7"/>
        </w:rPr>
        <w:footnoteReference w:id="336"/>
      </w:r>
      <w:r>
        <w:t>.</w:t>
      </w:r>
    </w:p>
    <w:p w14:paraId="105B1FF2" w14:textId="77777777" w:rsidR="001B6C3B" w:rsidRDefault="001B6C3B" w:rsidP="001B6C3B">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firstLine="709"/>
        <w:jc w:val="both"/>
        <w:textAlignment w:val="top"/>
      </w:pPr>
      <w:r>
        <w:t>Еще одна проблема связана с требованиями, предъявляемыми российским законодательством к суррогатной матери</w:t>
      </w:r>
      <w:r>
        <w:rPr>
          <w:rStyle w:val="a7"/>
        </w:rPr>
        <w:footnoteReference w:id="337"/>
      </w:r>
      <w:r>
        <w:t>. Эти требования включают ограничение возраста суррогатной матери от 20 до 35 лет, наличие собственного здорового ребенка, а также психическое и соматическое здоровье матери. Очевидно, что законодательный предел возраста суррогатной матери, особенно верхний предел, не соответствует способности женского организма вынашивать ребенка и затрудняет использование этого метода бесплатно, когда близкие родственники биологической матери становятся суррогатными матерями. Видимо, целесообразнее ориентироваться на состояние здоровья каждой конкретной будущей суррогатной матери. Предлагаем, в рамках решения данного вопроса, ввести четкие критерии, которые бы отвечали не только главе 2 Конституции РФ</w:t>
      </w:r>
      <w:r>
        <w:rPr>
          <w:rStyle w:val="a7"/>
        </w:rPr>
        <w:footnoteReference w:id="338"/>
      </w:r>
      <w:r>
        <w:t>, но и международно-правовым актам.</w:t>
      </w:r>
    </w:p>
    <w:p w14:paraId="12E53AC4" w14:textId="77777777" w:rsidR="001B6C3B" w:rsidRDefault="001B6C3B" w:rsidP="001B6C3B">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firstLine="709"/>
        <w:jc w:val="both"/>
        <w:textAlignment w:val="top"/>
      </w:pPr>
      <w:r>
        <w:lastRenderedPageBreak/>
        <w:t>Существует проблема противоречия между Семейным кодексом и ФЗ «Об актах гражданского состояния», что затрудняет регистрацию ребенка, рожденного суррогатной матерью, в органах ЗАГС или МФЦ для одиноких женщин и супружеских пар, официально не зарегистрировавших свои отношения. Они получают отказ и обращаются в суд, который решает зарегистрировать ребенка, рожденного от суррогатной матери. Женщина, решившая стать суррогатной матерью, может сделать это по гуманным соображениям. Это может быть родственник или близкий друг бесплодной пары или одинокой женщины. В этом случае генетические родители избегают шантажа со стороны суррогатной матери, не возникнет проблем с получением согласия, а также они сэкономят деньги на компенсации суррогатной матери. Большинство людей идут на суррогатное материнство по финансовым причинам – они получают материальное вознаграждение за вынашивание детей, которое позволяет им полностью или частично решить свои проблемы</w:t>
      </w:r>
      <w:r>
        <w:rPr>
          <w:rStyle w:val="a7"/>
        </w:rPr>
        <w:footnoteReference w:id="339"/>
      </w:r>
      <w:r>
        <w:t>. В этом есть отражение социальной проблемы государства в рамках некачественного обеспечения занятости населения, предоставления рабочих мест, достойного экономического уровня жизни. Отдельные статьи Семейного кодекса Российской Федерации не защищают ни одну из сторон от недобросовестности другой. Российское законодательство в настоящее время в первую очередь защищает интересы суррогатной матери, исходя из принципа, что матерью ребенка является женщина, родившая его. Только после получения согласия суррогатной матери и регистрации ребенка в ЗАГСе или МФЦ генетические родители приобретают законные права на материнство и отцовство, то есть приоритетное право решать судьбу ребенка принадлежит суррогатной матери, и на практике может возникнуть ситуация, когда генетическим родителям будет отказано в материнстве и отцовстве вообще. Таким образом, суррогатная мать может законно содержать генетически чуждого ей ребенка, официально считаясь его матерью со всеми вытекающими из этого юридическими последствиями. Суррогатная мать может сделать это в основном в двух случаях. Первый случай - это когда суррогатная мать испытывает материнские чувства к вынашиваемому ребенку. Второй случай - шантаж (вымогательство денежных средств) генетических родителей. Однако, оставив ребенка, суррогатная мать не может требовать компенсации от генетических родителей.</w:t>
      </w:r>
    </w:p>
    <w:p w14:paraId="7F0C3F5A" w14:textId="77777777" w:rsidR="001B6C3B" w:rsidRDefault="001B6C3B" w:rsidP="001B6C3B">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firstLine="709"/>
        <w:jc w:val="both"/>
        <w:textAlignment w:val="top"/>
      </w:pPr>
      <w:r>
        <w:t xml:space="preserve">Очевидно, что сегодня в России целесообразно принять комплексный правовой акт, который будет содержать понятийный материал: определение понятия суррогатного материнства, основания возникновения правоотношений, определение сторон договора, требования, права и обязанности участвующих сторон и их ответственность, возможность расторжения договора. Необходимо определить правила, связанные с установлением происхождения ребенка, и, наконец, определить необходимые договоры, сопровождающие основной договор суррогатного материнства. Также совершенно понятно, что закрепления института суррогатного материнства на должном уровне должно сопутствовать решению ряда остросоциальных проблем: это и социально-психологическое состояние ребенка, который появился на свет благодаря репродуктивной технологии; это ряд социальных программ на уровне федерации и субъектов, которые будут направлены на защиту интересов лиц, задействованных в суррогатном материнстве. Более того, перед тем, как укреплять институт суррогатного материнства в РФ,  крайне необходимо изучить его действие в рамках других правовых систем – получить практический опыт, проанализировать статистические данные, демографические показатели конкретно определенной страны. Только учитывая всю совокупность международного опыта, социальной и экономической информации можно реализовать правовой механизм становления института суррогатного материнства в РФ.  </w:t>
      </w:r>
    </w:p>
    <w:p w14:paraId="13E74AD9" w14:textId="77777777" w:rsidR="001B6C3B" w:rsidRDefault="001B6C3B" w:rsidP="001B6C3B">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firstLine="709"/>
        <w:jc w:val="both"/>
        <w:textAlignment w:val="top"/>
      </w:pPr>
    </w:p>
    <w:p w14:paraId="2B2F10B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b/>
          <w:sz w:val="24"/>
          <w:szCs w:val="24"/>
        </w:rPr>
      </w:pPr>
      <w:r>
        <w:rPr>
          <w:rFonts w:ascii="Times New Roman" w:eastAsia="Calibri" w:hAnsi="Times New Roman" w:cs="Times New Roman"/>
          <w:b/>
          <w:sz w:val="24"/>
          <w:szCs w:val="24"/>
        </w:rPr>
        <w:t>Библиографический список</w:t>
      </w:r>
    </w:p>
    <w:p w14:paraId="47A12AED" w14:textId="77777777" w:rsidR="001B6C3B" w:rsidRDefault="001B6C3B" w:rsidP="00E3198A">
      <w:pPr>
        <w:pStyle w:val="a4"/>
        <w:numPr>
          <w:ilvl w:val="0"/>
          <w:numId w:val="2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lastRenderedPageBreak/>
        <w:t xml:space="preserve">Авхадеев И.В. Некоторые вопросы правового регулирования института суррогатного материнства. -М.: 2017. 151-158 </w:t>
      </w:r>
      <w:r>
        <w:rPr>
          <w:rFonts w:ascii="Times New Roman" w:hAnsi="Times New Roman" w:cs="Times New Roman"/>
          <w:sz w:val="24"/>
          <w:szCs w:val="24"/>
          <w:shd w:val="clear" w:color="auto" w:fill="FFFFFF"/>
          <w:lang w:val="en-US"/>
        </w:rPr>
        <w:t>c</w:t>
      </w:r>
      <w:r>
        <w:rPr>
          <w:rFonts w:ascii="Times New Roman" w:hAnsi="Times New Roman" w:cs="Times New Roman"/>
          <w:sz w:val="24"/>
          <w:szCs w:val="24"/>
          <w:shd w:val="clear" w:color="auto" w:fill="FFFFFF"/>
        </w:rPr>
        <w:t>.</w:t>
      </w:r>
    </w:p>
    <w:p w14:paraId="0CF895E6" w14:textId="77777777" w:rsidR="001B6C3B" w:rsidRDefault="001B6C3B" w:rsidP="00E3198A">
      <w:pPr>
        <w:pStyle w:val="a4"/>
        <w:numPr>
          <w:ilvl w:val="0"/>
          <w:numId w:val="2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hAnsi="Times New Roman" w:cs="Times New Roman"/>
          <w:sz w:val="24"/>
          <w:szCs w:val="24"/>
          <w:shd w:val="clear" w:color="auto" w:fill="FFFFFF"/>
        </w:rPr>
        <w:t>Анохина Т.А. Проблемы правового регулирования института суррогатного материнства. -Хабаровск.: 2018. 198-202 с.</w:t>
      </w:r>
    </w:p>
    <w:p w14:paraId="379B5D31" w14:textId="77777777" w:rsidR="001B6C3B" w:rsidRDefault="001B6C3B" w:rsidP="00E3198A">
      <w:pPr>
        <w:pStyle w:val="a4"/>
        <w:numPr>
          <w:ilvl w:val="0"/>
          <w:numId w:val="2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 xml:space="preserve">Григорович Е.В. Некоторые аспекты правового регулирования искусственных методов репродукции. -М.: 2019. 29-30 </w:t>
      </w:r>
      <w:r>
        <w:rPr>
          <w:rFonts w:ascii="Times New Roman" w:hAnsi="Times New Roman" w:cs="Times New Roman"/>
          <w:sz w:val="24"/>
          <w:szCs w:val="24"/>
          <w:lang w:val="en-US"/>
        </w:rPr>
        <w:t>c</w:t>
      </w:r>
      <w:r>
        <w:rPr>
          <w:rFonts w:ascii="Times New Roman" w:hAnsi="Times New Roman" w:cs="Times New Roman"/>
          <w:sz w:val="24"/>
          <w:szCs w:val="24"/>
        </w:rPr>
        <w:t>.</w:t>
      </w:r>
    </w:p>
    <w:p w14:paraId="5E52E2F6" w14:textId="77777777" w:rsidR="001B6C3B" w:rsidRDefault="001B6C3B" w:rsidP="00E3198A">
      <w:pPr>
        <w:pStyle w:val="a4"/>
        <w:numPr>
          <w:ilvl w:val="0"/>
          <w:numId w:val="2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Козловская А.Э. Правовые аспекты суррогатного материнства.-М.:2018.27-28 с.</w:t>
      </w:r>
    </w:p>
    <w:p w14:paraId="2CD9E01E" w14:textId="77777777" w:rsidR="001B6C3B" w:rsidRDefault="001B6C3B" w:rsidP="00E3198A">
      <w:pPr>
        <w:pStyle w:val="a4"/>
        <w:numPr>
          <w:ilvl w:val="0"/>
          <w:numId w:val="2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Косова О.Ю. Семейный кодекс Российской Федерации и некоторые вопросы регулирования брачно-семейных отношений. -Правоведение.: 2019. 46-53 c.</w:t>
      </w:r>
    </w:p>
    <w:p w14:paraId="3D77B631" w14:textId="77777777" w:rsidR="001B6C3B" w:rsidRDefault="001B6C3B" w:rsidP="00E3198A">
      <w:pPr>
        <w:pStyle w:val="a4"/>
        <w:numPr>
          <w:ilvl w:val="0"/>
          <w:numId w:val="2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Савицкая А.А., Кудрявцева Л.В. Актуальные проблемы правового регулирования суррогатного материнства. В сборнике: Научное обеспечение агропромышленного комплекса Сборник статей по материалам 74-й научно-практической конференции студентов по итогам НИР 2018 год. Ответственный за выпуск Кощаев А.Г.  2019. 1394-1398 с.</w:t>
      </w:r>
    </w:p>
    <w:p w14:paraId="349540B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sectPr w:rsidR="001B6C3B">
          <w:footnotePr>
            <w:numRestart w:val="eachPage"/>
          </w:footnotePr>
          <w:pgSz w:w="11906" w:h="16838"/>
          <w:pgMar w:top="1134" w:right="1134" w:bottom="1134" w:left="1134" w:header="708" w:footer="708" w:gutter="0"/>
          <w:cols w:space="720"/>
        </w:sectPr>
      </w:pPr>
    </w:p>
    <w:p w14:paraId="5CE111F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395"/>
        <w:jc w:val="both"/>
        <w:rPr>
          <w:rStyle w:val="FontStyle19"/>
          <w:sz w:val="24"/>
          <w:szCs w:val="24"/>
        </w:rPr>
      </w:pPr>
      <w:r>
        <w:rPr>
          <w:rStyle w:val="FontStyle19"/>
          <w:sz w:val="24"/>
          <w:szCs w:val="24"/>
        </w:rPr>
        <w:lastRenderedPageBreak/>
        <w:t>УДК 347.191.11</w:t>
      </w:r>
    </w:p>
    <w:p w14:paraId="417BD86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left="4395"/>
        <w:jc w:val="both"/>
        <w:rPr>
          <w:b/>
        </w:rPr>
      </w:pPr>
      <w:r>
        <w:rPr>
          <w:rFonts w:ascii="Times New Roman" w:hAnsi="Times New Roman" w:cs="Times New Roman"/>
          <w:b/>
          <w:sz w:val="24"/>
          <w:szCs w:val="24"/>
        </w:rPr>
        <w:t>Стружинская Оксана Сергеевна</w:t>
      </w:r>
    </w:p>
    <w:p w14:paraId="4729917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left="4395"/>
        <w:jc w:val="both"/>
        <w:rPr>
          <w:rFonts w:ascii="Times New Roman" w:hAnsi="Times New Roman" w:cs="Times New Roman"/>
          <w:b/>
          <w:sz w:val="24"/>
          <w:szCs w:val="24"/>
        </w:rPr>
      </w:pPr>
      <w:r>
        <w:rPr>
          <w:rFonts w:ascii="Times New Roman" w:hAnsi="Times New Roman" w:cs="Times New Roman"/>
          <w:b/>
          <w:sz w:val="24"/>
          <w:szCs w:val="24"/>
          <w:lang w:val="en-US"/>
        </w:rPr>
        <w:t>Struzhinskaiai Oksana Sergeevna</w:t>
      </w:r>
    </w:p>
    <w:p w14:paraId="20BDE52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395"/>
        <w:jc w:val="both"/>
        <w:rPr>
          <w:rFonts w:ascii="Times New Roman" w:hAnsi="Times New Roman" w:cs="Times New Roman"/>
          <w:sz w:val="24"/>
          <w:szCs w:val="24"/>
        </w:rPr>
      </w:pPr>
      <w:r>
        <w:rPr>
          <w:rFonts w:ascii="Times New Roman" w:hAnsi="Times New Roman" w:cs="Times New Roman"/>
          <w:sz w:val="24"/>
          <w:szCs w:val="24"/>
        </w:rPr>
        <w:t>Аспирант  Федеральное государственное бюджетное образовательное учреждение высшего образования «Кубанский государственный аграрный университет имени И.Т. Трубилина»</w:t>
      </w:r>
    </w:p>
    <w:p w14:paraId="300D1D74"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395"/>
        <w:jc w:val="both"/>
        <w:rPr>
          <w:lang w:eastAsia="en-US"/>
        </w:rPr>
      </w:pPr>
      <w:r>
        <w:rPr>
          <w:lang w:val="ru-RU" w:eastAsia="en-US"/>
        </w:rPr>
        <w:t xml:space="preserve"> </w:t>
      </w:r>
      <w:r>
        <w:rPr>
          <w:lang w:eastAsia="en-US"/>
        </w:rPr>
        <w:t>Graduate</w:t>
      </w:r>
      <w:r>
        <w:t xml:space="preserve"> </w:t>
      </w:r>
      <w:r>
        <w:rPr>
          <w:lang w:eastAsia="en-US"/>
        </w:rPr>
        <w:t>student Federal State Budgetary Educational Institution of Higher Education</w:t>
      </w:r>
    </w:p>
    <w:p w14:paraId="022FB087"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395"/>
        <w:jc w:val="both"/>
        <w:rPr>
          <w:lang w:eastAsia="en-US"/>
        </w:rPr>
      </w:pPr>
      <w:r>
        <w:rPr>
          <w:lang w:eastAsia="en-US"/>
        </w:rPr>
        <w:t>“Kuban State Agrarian University named after I.T. Trubilin”</w:t>
      </w:r>
    </w:p>
    <w:p w14:paraId="7A93E628"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395"/>
        <w:jc w:val="both"/>
        <w:rPr>
          <w:lang w:val="ru-RU" w:eastAsia="en-US"/>
        </w:rPr>
      </w:pPr>
      <w:r>
        <w:rPr>
          <w:lang w:val="ru-RU" w:eastAsia="en-US"/>
        </w:rPr>
        <w:t>Российская Федерация, г. Краснодар</w:t>
      </w:r>
    </w:p>
    <w:p w14:paraId="16F198CD"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395"/>
        <w:jc w:val="both"/>
        <w:rPr>
          <w:lang w:val="ru-RU" w:eastAsia="en-US"/>
        </w:rPr>
      </w:pPr>
      <w:r>
        <w:rPr>
          <w:lang w:eastAsia="en-US"/>
        </w:rPr>
        <w:t>Russian</w:t>
      </w:r>
      <w:r>
        <w:rPr>
          <w:lang w:val="ru-RU" w:eastAsia="en-US"/>
        </w:rPr>
        <w:t xml:space="preserve"> </w:t>
      </w:r>
      <w:r>
        <w:rPr>
          <w:lang w:eastAsia="en-US"/>
        </w:rPr>
        <w:t>Federation</w:t>
      </w:r>
      <w:r>
        <w:rPr>
          <w:lang w:val="ru-RU" w:eastAsia="en-US"/>
        </w:rPr>
        <w:t xml:space="preserve">, </w:t>
      </w:r>
      <w:r>
        <w:rPr>
          <w:lang w:eastAsia="en-US"/>
        </w:rPr>
        <w:t>Krasnodar</w:t>
      </w:r>
    </w:p>
    <w:p w14:paraId="4D7FBC3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395"/>
        <w:jc w:val="both"/>
        <w:rPr>
          <w:rFonts w:ascii="Times New Roman" w:hAnsi="Times New Roman" w:cs="Times New Roman"/>
          <w:sz w:val="24"/>
          <w:szCs w:val="24"/>
        </w:rPr>
      </w:pPr>
      <w:r>
        <w:rPr>
          <w:rFonts w:ascii="Times New Roman" w:hAnsi="Times New Roman" w:cs="Times New Roman"/>
          <w:sz w:val="24"/>
          <w:szCs w:val="24"/>
          <w:lang w:val="en-US"/>
        </w:rPr>
        <w:t>Oxana</w:t>
      </w:r>
      <w:r>
        <w:rPr>
          <w:rFonts w:ascii="Times New Roman" w:hAnsi="Times New Roman" w:cs="Times New Roman"/>
          <w:sz w:val="24"/>
          <w:szCs w:val="24"/>
        </w:rPr>
        <w:t>2212@</w:t>
      </w:r>
      <w:r>
        <w:rPr>
          <w:rFonts w:ascii="Times New Roman" w:hAnsi="Times New Roman" w:cs="Times New Roman"/>
          <w:sz w:val="24"/>
          <w:szCs w:val="24"/>
          <w:lang w:val="en-US"/>
        </w:rPr>
        <w:t>mail</w:t>
      </w:r>
      <w:r>
        <w:rPr>
          <w:rFonts w:ascii="Times New Roman" w:hAnsi="Times New Roman" w:cs="Times New Roman"/>
          <w:sz w:val="24"/>
          <w:szCs w:val="24"/>
        </w:rPr>
        <w:t>.ru</w:t>
      </w:r>
    </w:p>
    <w:p w14:paraId="3864C90C" w14:textId="156DA8D0" w:rsidR="001B6C3B" w:rsidRPr="0074411C"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4395"/>
        <w:jc w:val="both"/>
        <w:rPr>
          <w:rFonts w:ascii="Times New Roman" w:hAnsi="Times New Roman" w:cs="Times New Roman"/>
          <w:sz w:val="24"/>
          <w:szCs w:val="24"/>
        </w:rPr>
      </w:pPr>
      <w:r>
        <w:rPr>
          <w:rFonts w:ascii="Times New Roman" w:hAnsi="Times New Roman" w:cs="Times New Roman"/>
        </w:rPr>
        <w:t xml:space="preserve"> </w:t>
      </w:r>
      <w:r w:rsidRPr="0074411C">
        <w:rPr>
          <w:rFonts w:ascii="Times New Roman" w:hAnsi="Times New Roman" w:cs="Times New Roman"/>
          <w:sz w:val="24"/>
          <w:szCs w:val="24"/>
        </w:rPr>
        <w:t xml:space="preserve">Научный руководитель Лескова Юлия Геннадьевна, </w:t>
      </w:r>
    </w:p>
    <w:p w14:paraId="0D81B23F" w14:textId="77777777" w:rsidR="001B6C3B" w:rsidRPr="0074411C"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4395"/>
        <w:jc w:val="both"/>
        <w:rPr>
          <w:rFonts w:ascii="Times New Roman" w:hAnsi="Times New Roman" w:cs="Times New Roman"/>
          <w:sz w:val="24"/>
          <w:szCs w:val="24"/>
          <w:lang w:val="en-US"/>
        </w:rPr>
      </w:pPr>
      <w:r w:rsidRPr="0074411C">
        <w:rPr>
          <w:rFonts w:ascii="Times New Roman" w:hAnsi="Times New Roman" w:cs="Times New Roman"/>
          <w:sz w:val="24"/>
          <w:szCs w:val="24"/>
        </w:rPr>
        <w:t>профессор</w:t>
      </w:r>
      <w:r w:rsidRPr="0074411C">
        <w:rPr>
          <w:rFonts w:ascii="Times New Roman" w:hAnsi="Times New Roman" w:cs="Times New Roman"/>
          <w:sz w:val="24"/>
          <w:szCs w:val="24"/>
          <w:lang w:val="en-US"/>
        </w:rPr>
        <w:t xml:space="preserve">, </w:t>
      </w:r>
      <w:r w:rsidRPr="0074411C">
        <w:rPr>
          <w:rFonts w:ascii="Times New Roman" w:hAnsi="Times New Roman" w:cs="Times New Roman"/>
          <w:sz w:val="24"/>
          <w:szCs w:val="24"/>
        </w:rPr>
        <w:t>д</w:t>
      </w:r>
      <w:r w:rsidRPr="0074411C">
        <w:rPr>
          <w:rFonts w:ascii="Times New Roman" w:hAnsi="Times New Roman" w:cs="Times New Roman"/>
          <w:sz w:val="24"/>
          <w:szCs w:val="24"/>
          <w:lang w:val="en-US"/>
        </w:rPr>
        <w:t>.</w:t>
      </w:r>
      <w:r w:rsidRPr="0074411C">
        <w:rPr>
          <w:rFonts w:ascii="Times New Roman" w:hAnsi="Times New Roman" w:cs="Times New Roman"/>
          <w:sz w:val="24"/>
          <w:szCs w:val="24"/>
        </w:rPr>
        <w:t>ю</w:t>
      </w:r>
      <w:r w:rsidRPr="0074411C">
        <w:rPr>
          <w:rFonts w:ascii="Times New Roman" w:hAnsi="Times New Roman" w:cs="Times New Roman"/>
          <w:sz w:val="24"/>
          <w:szCs w:val="24"/>
          <w:lang w:val="en-US"/>
        </w:rPr>
        <w:t>.</w:t>
      </w:r>
      <w:r w:rsidRPr="0074411C">
        <w:rPr>
          <w:rFonts w:ascii="Times New Roman" w:hAnsi="Times New Roman" w:cs="Times New Roman"/>
          <w:sz w:val="24"/>
          <w:szCs w:val="24"/>
        </w:rPr>
        <w:t>н</w:t>
      </w:r>
      <w:r w:rsidRPr="0074411C">
        <w:rPr>
          <w:rFonts w:ascii="Times New Roman" w:hAnsi="Times New Roman" w:cs="Times New Roman"/>
          <w:sz w:val="24"/>
          <w:szCs w:val="24"/>
          <w:lang w:val="en-US"/>
        </w:rPr>
        <w:t>..</w:t>
      </w:r>
    </w:p>
    <w:p w14:paraId="439FC90B" w14:textId="77777777" w:rsidR="001B6C3B" w:rsidRPr="0074411C"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4395"/>
        <w:jc w:val="both"/>
        <w:rPr>
          <w:rFonts w:ascii="Times New Roman" w:hAnsi="Times New Roman" w:cs="Times New Roman"/>
          <w:sz w:val="24"/>
          <w:szCs w:val="24"/>
          <w:lang w:val="en-US"/>
        </w:rPr>
      </w:pPr>
      <w:r w:rsidRPr="0074411C">
        <w:rPr>
          <w:rFonts w:ascii="Times New Roman" w:hAnsi="Times New Roman" w:cs="Times New Roman"/>
          <w:sz w:val="24"/>
          <w:szCs w:val="24"/>
          <w:lang w:val="en-US"/>
        </w:rPr>
        <w:t xml:space="preserve">  Scientific adviser Leskova Julia Gennadievna,</w:t>
      </w:r>
    </w:p>
    <w:p w14:paraId="63F080A3" w14:textId="77777777" w:rsidR="001B6C3B" w:rsidRPr="0074411C"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4395"/>
        <w:jc w:val="both"/>
        <w:rPr>
          <w:rFonts w:ascii="Times New Roman" w:hAnsi="Times New Roman" w:cs="Times New Roman"/>
          <w:sz w:val="24"/>
          <w:szCs w:val="24"/>
        </w:rPr>
      </w:pPr>
      <w:r w:rsidRPr="0074411C">
        <w:rPr>
          <w:rFonts w:ascii="Times New Roman" w:hAnsi="Times New Roman" w:cs="Times New Roman"/>
          <w:sz w:val="24"/>
          <w:szCs w:val="24"/>
          <w:lang w:val="en-US"/>
        </w:rPr>
        <w:t xml:space="preserve"> Professor</w:t>
      </w:r>
      <w:r w:rsidRPr="0074411C">
        <w:rPr>
          <w:rFonts w:ascii="Times New Roman" w:hAnsi="Times New Roman" w:cs="Times New Roman"/>
          <w:sz w:val="24"/>
          <w:szCs w:val="24"/>
        </w:rPr>
        <w:t xml:space="preserve">, </w:t>
      </w:r>
      <w:r w:rsidRPr="0074411C">
        <w:rPr>
          <w:rFonts w:ascii="Times New Roman" w:hAnsi="Times New Roman" w:cs="Times New Roman"/>
          <w:sz w:val="24"/>
          <w:szCs w:val="24"/>
          <w:lang w:val="en-US"/>
        </w:rPr>
        <w:t>Doctor</w:t>
      </w:r>
      <w:r w:rsidRPr="0074411C">
        <w:rPr>
          <w:rFonts w:ascii="Times New Roman" w:hAnsi="Times New Roman" w:cs="Times New Roman"/>
          <w:sz w:val="24"/>
          <w:szCs w:val="24"/>
        </w:rPr>
        <w:t xml:space="preserve"> </w:t>
      </w:r>
      <w:r w:rsidRPr="0074411C">
        <w:rPr>
          <w:rFonts w:ascii="Times New Roman" w:hAnsi="Times New Roman" w:cs="Times New Roman"/>
          <w:sz w:val="24"/>
          <w:szCs w:val="24"/>
          <w:lang w:val="en-US"/>
        </w:rPr>
        <w:t>of</w:t>
      </w:r>
      <w:r w:rsidRPr="0074411C">
        <w:rPr>
          <w:rFonts w:ascii="Times New Roman" w:hAnsi="Times New Roman" w:cs="Times New Roman"/>
          <w:sz w:val="24"/>
          <w:szCs w:val="24"/>
        </w:rPr>
        <w:t xml:space="preserve"> </w:t>
      </w:r>
      <w:r w:rsidRPr="0074411C">
        <w:rPr>
          <w:rFonts w:ascii="Times New Roman" w:hAnsi="Times New Roman" w:cs="Times New Roman"/>
          <w:sz w:val="24"/>
          <w:szCs w:val="24"/>
          <w:lang w:val="en-US"/>
        </w:rPr>
        <w:t>Law</w:t>
      </w:r>
    </w:p>
    <w:p w14:paraId="1C83DEA9" w14:textId="77777777" w:rsidR="001B6C3B" w:rsidRPr="0074411C"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sz w:val="24"/>
          <w:szCs w:val="24"/>
        </w:rPr>
      </w:pPr>
    </w:p>
    <w:p w14:paraId="0A01AD06" w14:textId="77777777" w:rsidR="001B6C3B" w:rsidRPr="0074411C"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sz w:val="24"/>
          <w:szCs w:val="24"/>
        </w:rPr>
      </w:pPr>
    </w:p>
    <w:p w14:paraId="7D57786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hAnsi="Times New Roman" w:cs="Times New Roman"/>
          <w:b/>
          <w:sz w:val="24"/>
          <w:szCs w:val="24"/>
        </w:rPr>
      </w:pPr>
      <w:r>
        <w:rPr>
          <w:rFonts w:ascii="Times New Roman" w:hAnsi="Times New Roman" w:cs="Times New Roman"/>
          <w:b/>
          <w:sz w:val="24"/>
          <w:szCs w:val="24"/>
        </w:rPr>
        <w:t>САМОРЕГУЛИРОВАНИЕ В СФЕРЕ ЭКОЛОГИИ: ОЦЕНКА ЭКОЛОГИЧЕСКОЙ УСТОЙЧИВОСТИ РАЗВИТИЯ В РФ</w:t>
      </w:r>
    </w:p>
    <w:p w14:paraId="1FB3BEB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hAnsi="Times New Roman" w:cs="Times New Roman"/>
          <w:b/>
          <w:sz w:val="24"/>
          <w:szCs w:val="24"/>
        </w:rPr>
      </w:pPr>
    </w:p>
    <w:p w14:paraId="4DA9747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hAnsi="Times New Roman" w:cs="Times New Roman"/>
          <w:b/>
          <w:sz w:val="24"/>
          <w:szCs w:val="24"/>
          <w:lang w:val="en-US"/>
        </w:rPr>
      </w:pPr>
      <w:r>
        <w:rPr>
          <w:rFonts w:ascii="Times New Roman" w:hAnsi="Times New Roman" w:cs="Times New Roman"/>
          <w:b/>
          <w:sz w:val="24"/>
          <w:szCs w:val="24"/>
          <w:lang w:val="en-US"/>
        </w:rPr>
        <w:t>SELF-REGULATION IN THE FIELD OF ECOLOGY: EVALUATION OF ECOLOGICAL SUSTAINABILITY OF DEVELOPMENT IN THE RUSSIAN FEDERATION</w:t>
      </w:r>
    </w:p>
    <w:p w14:paraId="78E4B85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
          <w:sz w:val="24"/>
          <w:szCs w:val="24"/>
          <w:lang w:val="en-US"/>
        </w:rPr>
      </w:pPr>
    </w:p>
    <w:p w14:paraId="7981B32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bCs/>
          <w:sz w:val="24"/>
          <w:szCs w:val="24"/>
        </w:rPr>
        <w:t>Аннотация:</w:t>
      </w:r>
      <w:r>
        <w:rPr>
          <w:rFonts w:ascii="Times New Roman" w:hAnsi="Times New Roman" w:cs="Times New Roman"/>
          <w:sz w:val="24"/>
          <w:szCs w:val="24"/>
        </w:rPr>
        <w:t xml:space="preserve"> В статье рассматриваются вопросы саморегулирования в сфере экологии. Проанализирована деятельность саморегулируемых организаций, как в нашей стране, так и за рубежом. Целью исследования является выработка рекомендаций по адаптации экономики России и сопредельных государств к масштабному изменению климата, определение условий для трансформации мышления человека к ведению хозяйственной деятельности, использованию природных ресурсов.</w:t>
      </w:r>
      <w:r>
        <w:rPr>
          <w:rFonts w:ascii="Times New Roman" w:hAnsi="Times New Roman" w:cs="Times New Roman"/>
          <w:sz w:val="24"/>
          <w:szCs w:val="24"/>
          <w:shd w:val="clear" w:color="auto" w:fill="FFFFFF"/>
        </w:rPr>
        <w:t xml:space="preserve"> </w:t>
      </w:r>
      <w:r>
        <w:rPr>
          <w:rFonts w:ascii="Times New Roman" w:hAnsi="Times New Roman" w:cs="Times New Roman"/>
          <w:sz w:val="24"/>
          <w:szCs w:val="24"/>
        </w:rPr>
        <w:t>Бизнесу необходимо осознание того, что отрицательное влияние на окружающую среду сегодня – это его низкая экономическая эффективность в будущем. Современная экологическая ситуация объективно обуславливает необходимость создания саморегулируемых организаций и их тесное взаимодействие со всеми экономическими субъектами.</w:t>
      </w:r>
    </w:p>
    <w:p w14:paraId="7FC2EA9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bCs/>
          <w:sz w:val="24"/>
          <w:szCs w:val="24"/>
        </w:rPr>
        <w:t>Ключевые слова:</w:t>
      </w:r>
      <w:r>
        <w:rPr>
          <w:rFonts w:ascii="Times New Roman" w:hAnsi="Times New Roman" w:cs="Times New Roman"/>
          <w:sz w:val="24"/>
          <w:szCs w:val="24"/>
        </w:rPr>
        <w:t xml:space="preserve"> бизнес; саморегулирование; экология; СРО; экологическое саморегулирование.</w:t>
      </w:r>
    </w:p>
    <w:p w14:paraId="73AF3DD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lang w:val="en-US"/>
        </w:rPr>
      </w:pPr>
      <w:r>
        <w:rPr>
          <w:rStyle w:val="FontStyle19"/>
          <w:sz w:val="24"/>
          <w:szCs w:val="24"/>
          <w:lang w:val="en-US"/>
        </w:rPr>
        <w:t xml:space="preserve">Аnnotation:  </w:t>
      </w:r>
      <w:r>
        <w:rPr>
          <w:rFonts w:ascii="Times New Roman" w:hAnsi="Times New Roman" w:cs="Times New Roman"/>
          <w:sz w:val="24"/>
          <w:szCs w:val="24"/>
          <w:lang w:val="en-US"/>
        </w:rPr>
        <w:t>The article considers issues of self-regulation in the field of ecology. The activity of self-regulatory organizations, both in our country and abroad, is analyzed. The aim of the study is to develop recommendations for adapting the economy of Russia and neighboring countries to large-scale climate change, to determine the conditions for the transformation of human thinking to conduct economic activity, and to use natural resources. Businesses need to recognize that the negative impact on the environment today is its low economic efficiency in the future. The current environmental situation objectively necessitates the creation of self-regulatory organizations and their close interaction with all economic entities.</w:t>
      </w:r>
    </w:p>
    <w:p w14:paraId="24E4FD0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lang w:val="en-US"/>
        </w:rPr>
      </w:pPr>
      <w:r>
        <w:rPr>
          <w:rFonts w:ascii="Times New Roman" w:hAnsi="Times New Roman" w:cs="Times New Roman"/>
          <w:sz w:val="24"/>
          <w:szCs w:val="24"/>
          <w:lang w:val="en-US"/>
        </w:rPr>
        <w:t>Key words: business; self-regulation; ecology; SRO; environmental self-regulation.</w:t>
      </w:r>
    </w:p>
    <w:p w14:paraId="7FCB18B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lang w:val="en-US"/>
        </w:rPr>
      </w:pPr>
    </w:p>
    <w:p w14:paraId="2D7FAF9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Инновационное развитие современной экономики ведет к увеличению масштабов хозяйственной деятельности экономических субъектов, которая зачастую оказывает </w:t>
      </w:r>
      <w:r>
        <w:rPr>
          <w:rFonts w:ascii="Times New Roman" w:hAnsi="Times New Roman" w:cs="Times New Roman"/>
          <w:sz w:val="24"/>
          <w:szCs w:val="24"/>
        </w:rPr>
        <w:lastRenderedPageBreak/>
        <w:t>негативное воздействие на окружающую среду, что в свою очередь затрудняет дальнейшее совершенствование технологических процессов. Способность окружающей среды к восстановлению не безгранична и сильно растянута во времени, что приводит к возникновению серьезных экологических проблем и требует поиска их решения на всех уровнях социально-экономической системы общества.</w:t>
      </w:r>
    </w:p>
    <w:p w14:paraId="167F496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Однако экологическим вопросам, в их взаимосвязи с развитием инновационной экономики, уделяется недостаточное внимание, существует не так много научных работ и исследований, направленных на их разрешение. Особую роль здесь должна играть экономическая наука, т.к. именно потребности человека и их удовлетворение, которые она изучает, являются основой истощения ресурсных запасов и загрязнения окружающей среды. Несмотря на то, что в экономической теории рассматриваются механизмы формирования институциональных условий роста и устойчивости отдельных отраслей, они практически никогда не рассматриваются в контексте экологии или применительно к ней. Одним из механизмов, который может способствовать эффективной защите окружающей среды, является институт саморегулируемых организаций, который в экологической сфере приобретает особый аспект и выражает интересы не только профессионального сообщества в конкретной отрасли, но и всего общества. Классическая экономическая теория под саморегулированием предлагает определять установление участниками рынка коллективных ограничений, которые отличаются от государственных и носят восполняющий или дополнительный характер для достижения определенных целей, которые не возможно достичь в свободном действии рыночных сил</w:t>
      </w:r>
      <w:r>
        <w:rPr>
          <w:rStyle w:val="a7"/>
          <w:rFonts w:ascii="Times New Roman" w:hAnsi="Times New Roman" w:cs="Times New Roman"/>
          <w:sz w:val="24"/>
          <w:szCs w:val="24"/>
        </w:rPr>
        <w:footnoteReference w:id="340"/>
      </w:r>
      <w:r>
        <w:rPr>
          <w:rFonts w:ascii="Times New Roman" w:hAnsi="Times New Roman" w:cs="Times New Roman"/>
          <w:sz w:val="24"/>
          <w:szCs w:val="24"/>
        </w:rPr>
        <w:t>.</w:t>
      </w:r>
    </w:p>
    <w:p w14:paraId="2C2F0A2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Таким образом, экологическое саморегулирование – это некий институт, в котором экономические субъекты, вместе с государственными органами определяют правила регулирования определенных сторон хозяйственной деятельности, которые связаны с использованием природных ресурсов и воздействием на окружающую среду. </w:t>
      </w:r>
    </w:p>
    <w:p w14:paraId="23A5FE1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На данный момент происходит становление процесса саморегулирования: создаются институты, регулирующие взаимоотношения между предпринимателями, государством и потребителями (саморегулируемыми организациями (далее - СРО)). К подобным организациям относят профессиональные объединения, в основе которых обязательное или добровольное членство, которые имеют свои правила и стандарты, системы контроля и механизмы ответственности</w:t>
      </w:r>
      <w:r>
        <w:rPr>
          <w:rStyle w:val="a7"/>
          <w:rFonts w:ascii="Times New Roman" w:hAnsi="Times New Roman" w:cs="Times New Roman"/>
          <w:sz w:val="24"/>
          <w:szCs w:val="24"/>
        </w:rPr>
        <w:footnoteReference w:id="341"/>
      </w:r>
      <w:r>
        <w:rPr>
          <w:rFonts w:ascii="Times New Roman" w:hAnsi="Times New Roman" w:cs="Times New Roman"/>
          <w:sz w:val="24"/>
          <w:szCs w:val="24"/>
        </w:rPr>
        <w:t xml:space="preserve">.  </w:t>
      </w:r>
    </w:p>
    <w:p w14:paraId="3211BCD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Об эволюционной природе института саморегулирования говорит Ю. Г. Лескова. В ее работах указывается на последовательное формирование, адаптацию и изменение правил, регламентирующих ведение хозяйственной деятельности экономических субъектов, а также механизмов принуждения к их соблюдению в рамках группы специальных интересов. Однако саморегулирование представляет собой некое добровольное самоограничение, т.е. подобные организации действуют, защищают свои интересы на основе уже сформированных правил другими субъектами (чаще всего государством) в целях решения общих проблем и обеспечения контрактов, и публичности сертификации качества их хозяйственной деятельности.  Ю.Г. Лескова предлагает выделять следующие формы саморегулирования:</w:t>
      </w:r>
    </w:p>
    <w:p w14:paraId="6D85F03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1. Объединение без образования юридического лица. Данная форма имеет места быть, когда несколько экономических субъектов объединяются для достижения определенной цели, создают свои правила, которые необходимо соблюдать, но при этом юридическое лицо не образуется; </w:t>
      </w:r>
    </w:p>
    <w:p w14:paraId="465E9BE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 Юридическое лицо. Данная форма имеет место быть, когда создается определенная организация, с возложенной на нее функцией контроля за определенными хозяйствующими субъектами.</w:t>
      </w:r>
    </w:p>
    <w:p w14:paraId="36906A1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 xml:space="preserve">Государство и саморегулируемые организации активно взаимодействуют, при этом накапливается определенный опыт по разрешению экологических проблем. Саморегулируемы организации помогают в формировании экологической политики государства и совершенствования экологического законодательства, формирования системы солидарной ответственности субъектов схожих видов экономической деятельности перед потребителями и обществом. В том случае если такого рода саморегулирование реализуется преимущественно «снизу», в процессе принятия индивидуальными факторами правил поведения в ходе реализации своей профессиональной деятельности, в большинстве случаев, данные правила соответствуют более высоким стандартам, чем в среднем существующие на рынке и установленные государством «сверху». В том случае, если данные нормы оказываются эффективными с точки зрения большинства хозяйствующих субъектов, то вмешательство государства в данную сферу деятельности нецелесообразно. Таким образом, система контрактных отношений, присущая саморегулируемым организациям, может значительно отличаться в зависимости от целого ряда как внешних, так и внутренних факторов, которые могут влиять на эффективность функционирования СРО, а также способствовать формированию наиболее устойчивых форм контрактного взаимодействия. </w:t>
      </w:r>
    </w:p>
    <w:p w14:paraId="5D43383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Еще одним фактором эффективности и устойчивости организации саморегулирования является превышение ожидаемых выгод от соблюдения правил организации над ожидаемыми выгодами от нарушения этих правил. Иными словами, должна обеспечиваться самовыполняемость контракта между участников организации и центральным агентом</w:t>
      </w:r>
      <w:r>
        <w:rPr>
          <w:rStyle w:val="a7"/>
          <w:rFonts w:ascii="Times New Roman" w:hAnsi="Times New Roman" w:cs="Times New Roman"/>
          <w:sz w:val="24"/>
          <w:szCs w:val="24"/>
        </w:rPr>
        <w:footnoteReference w:id="342"/>
      </w:r>
      <w:r>
        <w:rPr>
          <w:rFonts w:ascii="Times New Roman" w:hAnsi="Times New Roman" w:cs="Times New Roman"/>
          <w:sz w:val="24"/>
          <w:szCs w:val="24"/>
        </w:rPr>
        <w:t xml:space="preserve">, предполагающая добросовестное поведение экономических субъектов, которое возможно при условии, что вести себя, таким образом, более выгодно, чем склоняться к оппортунизму.  </w:t>
      </w:r>
    </w:p>
    <w:p w14:paraId="76D08ED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Следовательно, для распространения системы саморегулирования необходимо взаимодействие государства, бизнеса и общества, что может обеспечить условия для принятия рациональных управленческих решений, т.е. будет способствовать формированию равноправного субъекта хозяйственной деятельности, способного участвовать в регулировании предпринимательской и профессиональной деятельности и принимающего на себя дополнительную ответственность.  </w:t>
      </w:r>
    </w:p>
    <w:p w14:paraId="3A04A76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Основным правовым актом, регулирующим деятельность саморегулируемых организаций в Российской Федерации является Федеральный закон от 1 декабря 2007 г. № 315-ФЗ «О саморегулируемых организациях». В нем установлены правовые основы деятельности саморегулируемых организаций, в том числе и в экологической сфере. Обращаясь к данному закону на практике возникают определенные проблемы. Ю.Г. Лескова полагает, что функции, которые возложены на саморегулируемые организации недостаточно урегулированы. Так, СРО:  от своего имени имеют право оспаривать в установленном законом порядке акты любых органов власти, которые нарушают права саморегулируемой организации, либо создают угрозу нарушения прав;   участвуют в осуждении проектов федеральных законов и других правовых актов, государственных программ по вопросам связанным с предметом саморегулирования, в том числе в экологической сфере, а также производить независимые экспертизы и подготавливать заключения по ним;  вносят предложения в государственные органы по совершенствованию действующего законодательства. Проанализировав вышеуказанные функции, которые указаны в законе мы согласимся с мнением Ю.Г. Лесковой. Действительно, права СРО недостаточно реализованы в функциях, которые на них возложены.</w:t>
      </w:r>
    </w:p>
    <w:p w14:paraId="5F97A17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Современная экологическая ситуация объективно обуславливает необходимость создания саморегулируемых организаций и их тесное взаимодействие со всеми экономическими субъектами. Однако, в государственном реестре СРО такого рода объединения в данной отрасли отсутствуют, а все экологические СРО сформированы исключительно на добровольной основе, что является с одной стороны, положительной характеристикой и показывает предрасположенность отрасли к естественной </w:t>
      </w:r>
      <w:r>
        <w:rPr>
          <w:rFonts w:ascii="Times New Roman" w:hAnsi="Times New Roman" w:cs="Times New Roman"/>
          <w:sz w:val="24"/>
          <w:szCs w:val="24"/>
        </w:rPr>
        <w:lastRenderedPageBreak/>
        <w:t>самоорганизации, а с другой отражает недостаточное внимание государства и бизнеса к данному вопросу</w:t>
      </w:r>
      <w:r>
        <w:rPr>
          <w:rStyle w:val="a7"/>
          <w:rFonts w:ascii="Times New Roman" w:hAnsi="Times New Roman" w:cs="Times New Roman"/>
          <w:sz w:val="24"/>
          <w:szCs w:val="24"/>
        </w:rPr>
        <w:footnoteReference w:id="343"/>
      </w:r>
      <w:r>
        <w:rPr>
          <w:rFonts w:ascii="Times New Roman" w:hAnsi="Times New Roman" w:cs="Times New Roman"/>
          <w:sz w:val="24"/>
          <w:szCs w:val="24"/>
        </w:rPr>
        <w:t xml:space="preserve">. </w:t>
      </w:r>
    </w:p>
    <w:p w14:paraId="571B2EA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качестве примера саморегулирования в экологической сфере можно обратиться к опыту США (добровольное саморегулирование): </w:t>
      </w:r>
    </w:p>
    <w:p w14:paraId="48D961E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lang w:val="en-US"/>
        </w:rPr>
        <w:t>1) «</w:t>
      </w:r>
      <w:r>
        <w:rPr>
          <w:rFonts w:ascii="Times New Roman" w:hAnsi="Times New Roman" w:cs="Times New Roman"/>
          <w:i/>
          <w:sz w:val="24"/>
          <w:szCs w:val="24"/>
        </w:rPr>
        <w:t>Ассоциация</w:t>
      </w:r>
      <w:r>
        <w:rPr>
          <w:rFonts w:ascii="Times New Roman" w:hAnsi="Times New Roman" w:cs="Times New Roman"/>
          <w:i/>
          <w:sz w:val="24"/>
          <w:szCs w:val="24"/>
          <w:lang w:val="en-US"/>
        </w:rPr>
        <w:t xml:space="preserve"> </w:t>
      </w:r>
      <w:r>
        <w:rPr>
          <w:rFonts w:ascii="Times New Roman" w:hAnsi="Times New Roman" w:cs="Times New Roman"/>
          <w:i/>
          <w:sz w:val="24"/>
          <w:szCs w:val="24"/>
        </w:rPr>
        <w:t>промышленников</w:t>
      </w:r>
      <w:r>
        <w:rPr>
          <w:rFonts w:ascii="Times New Roman" w:hAnsi="Times New Roman" w:cs="Times New Roman"/>
          <w:i/>
          <w:sz w:val="24"/>
          <w:szCs w:val="24"/>
          <w:lang w:val="en-US"/>
        </w:rPr>
        <w:t xml:space="preserve"> </w:t>
      </w:r>
      <w:r>
        <w:rPr>
          <w:rFonts w:ascii="Times New Roman" w:hAnsi="Times New Roman" w:cs="Times New Roman"/>
          <w:i/>
          <w:sz w:val="24"/>
          <w:szCs w:val="24"/>
        </w:rPr>
        <w:t>химической</w:t>
      </w:r>
      <w:r>
        <w:rPr>
          <w:rFonts w:ascii="Times New Roman" w:hAnsi="Times New Roman" w:cs="Times New Roman"/>
          <w:i/>
          <w:sz w:val="24"/>
          <w:szCs w:val="24"/>
          <w:lang w:val="en-US"/>
        </w:rPr>
        <w:t xml:space="preserve"> </w:t>
      </w:r>
      <w:r>
        <w:rPr>
          <w:rFonts w:ascii="Times New Roman" w:hAnsi="Times New Roman" w:cs="Times New Roman"/>
          <w:i/>
          <w:sz w:val="24"/>
          <w:szCs w:val="24"/>
        </w:rPr>
        <w:t>отрасли</w:t>
      </w:r>
      <w:r>
        <w:rPr>
          <w:rFonts w:ascii="Times New Roman" w:hAnsi="Times New Roman" w:cs="Times New Roman"/>
          <w:sz w:val="24"/>
          <w:szCs w:val="24"/>
          <w:lang w:val="en-US"/>
        </w:rPr>
        <w:t xml:space="preserve"> (</w:t>
      </w:r>
      <w:r>
        <w:rPr>
          <w:rFonts w:ascii="Times New Roman" w:hAnsi="Times New Roman" w:cs="Times New Roman"/>
          <w:i/>
          <w:sz w:val="24"/>
          <w:szCs w:val="24"/>
          <w:lang w:val="en-US"/>
        </w:rPr>
        <w:t>The Chemical Manufacturers Association (CMA))</w:t>
      </w:r>
      <w:r>
        <w:rPr>
          <w:rFonts w:ascii="Times New Roman" w:hAnsi="Times New Roman" w:cs="Times New Roman"/>
          <w:sz w:val="24"/>
          <w:szCs w:val="24"/>
          <w:lang w:val="en-US"/>
        </w:rPr>
        <w:t xml:space="preserve">». </w:t>
      </w:r>
      <w:r>
        <w:rPr>
          <w:rFonts w:ascii="Times New Roman" w:hAnsi="Times New Roman" w:cs="Times New Roman"/>
          <w:sz w:val="24"/>
          <w:szCs w:val="24"/>
        </w:rPr>
        <w:t xml:space="preserve">Целью ассоциации была демонстрация усиления мер безопасности и природоохранных мер, посредством чего должна вернуться лояльность потребителей. </w:t>
      </w:r>
    </w:p>
    <w:p w14:paraId="568DE5A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lang w:val="en-US"/>
        </w:rPr>
        <w:t xml:space="preserve">2) </w:t>
      </w:r>
      <w:r>
        <w:rPr>
          <w:rFonts w:ascii="Times New Roman" w:hAnsi="Times New Roman" w:cs="Times New Roman"/>
          <w:i/>
          <w:sz w:val="24"/>
          <w:szCs w:val="24"/>
          <w:lang w:val="en-US"/>
        </w:rPr>
        <w:t xml:space="preserve"> </w:t>
      </w:r>
      <w:r>
        <w:rPr>
          <w:rFonts w:ascii="Times New Roman" w:hAnsi="Times New Roman" w:cs="Times New Roman"/>
          <w:i/>
          <w:sz w:val="24"/>
          <w:szCs w:val="24"/>
        </w:rPr>
        <w:t>Национальная</w:t>
      </w:r>
      <w:r>
        <w:rPr>
          <w:rFonts w:ascii="Times New Roman" w:hAnsi="Times New Roman" w:cs="Times New Roman"/>
          <w:i/>
          <w:sz w:val="24"/>
          <w:szCs w:val="24"/>
          <w:lang w:val="en-US"/>
        </w:rPr>
        <w:t xml:space="preserve"> </w:t>
      </w:r>
      <w:r>
        <w:rPr>
          <w:rFonts w:ascii="Times New Roman" w:hAnsi="Times New Roman" w:cs="Times New Roman"/>
          <w:i/>
          <w:sz w:val="24"/>
          <w:szCs w:val="24"/>
        </w:rPr>
        <w:t>Ассоциация</w:t>
      </w:r>
      <w:r>
        <w:rPr>
          <w:rFonts w:ascii="Times New Roman" w:hAnsi="Times New Roman" w:cs="Times New Roman"/>
          <w:i/>
          <w:sz w:val="24"/>
          <w:szCs w:val="24"/>
          <w:lang w:val="en-US"/>
        </w:rPr>
        <w:t xml:space="preserve"> </w:t>
      </w:r>
      <w:r>
        <w:rPr>
          <w:rFonts w:ascii="Times New Roman" w:hAnsi="Times New Roman" w:cs="Times New Roman"/>
          <w:i/>
          <w:sz w:val="24"/>
          <w:szCs w:val="24"/>
        </w:rPr>
        <w:t>химических</w:t>
      </w:r>
      <w:r>
        <w:rPr>
          <w:rFonts w:ascii="Times New Roman" w:hAnsi="Times New Roman" w:cs="Times New Roman"/>
          <w:i/>
          <w:sz w:val="24"/>
          <w:szCs w:val="24"/>
          <w:lang w:val="en-US"/>
        </w:rPr>
        <w:t xml:space="preserve"> </w:t>
      </w:r>
      <w:r>
        <w:rPr>
          <w:rFonts w:ascii="Times New Roman" w:hAnsi="Times New Roman" w:cs="Times New Roman"/>
          <w:i/>
          <w:sz w:val="24"/>
          <w:szCs w:val="24"/>
        </w:rPr>
        <w:t>дистрибьюторов</w:t>
      </w:r>
      <w:r>
        <w:rPr>
          <w:rFonts w:ascii="Times New Roman" w:hAnsi="Times New Roman" w:cs="Times New Roman"/>
          <w:i/>
          <w:sz w:val="24"/>
          <w:szCs w:val="24"/>
          <w:lang w:val="en-US"/>
        </w:rPr>
        <w:t xml:space="preserve"> (National Association of Chemical Distributors)</w:t>
      </w:r>
      <w:r>
        <w:rPr>
          <w:rFonts w:ascii="Times New Roman" w:hAnsi="Times New Roman" w:cs="Times New Roman"/>
          <w:sz w:val="24"/>
          <w:szCs w:val="24"/>
          <w:lang w:val="en-US"/>
        </w:rPr>
        <w:t xml:space="preserve">. </w:t>
      </w:r>
      <w:r>
        <w:rPr>
          <w:rFonts w:ascii="Times New Roman" w:hAnsi="Times New Roman" w:cs="Times New Roman"/>
          <w:sz w:val="24"/>
          <w:szCs w:val="24"/>
        </w:rPr>
        <w:t xml:space="preserve">Организация была призвана выработать единую экологическую политику в области защиты окружающей среды. </w:t>
      </w:r>
    </w:p>
    <w:p w14:paraId="1CB153B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w:t>
      </w:r>
      <w:r>
        <w:rPr>
          <w:rFonts w:ascii="Times New Roman" w:hAnsi="Times New Roman" w:cs="Times New Roman"/>
          <w:i/>
          <w:sz w:val="24"/>
          <w:szCs w:val="24"/>
        </w:rPr>
        <w:t xml:space="preserve"> Американский Институт текстильных промышленных компаний (American Textile Manufacturers Institute).</w:t>
      </w:r>
      <w:r>
        <w:rPr>
          <w:rFonts w:ascii="Times New Roman" w:hAnsi="Times New Roman" w:cs="Times New Roman"/>
          <w:sz w:val="24"/>
          <w:szCs w:val="24"/>
        </w:rPr>
        <w:t xml:space="preserve">  Цель получения преимущества среди конкурентов за счет позиционирования своей продукции как экологически чистой. </w:t>
      </w:r>
    </w:p>
    <w:p w14:paraId="59E4CDC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4) </w:t>
      </w:r>
      <w:r>
        <w:rPr>
          <w:rFonts w:ascii="Times New Roman" w:hAnsi="Times New Roman" w:cs="Times New Roman"/>
          <w:i/>
          <w:sz w:val="24"/>
          <w:szCs w:val="24"/>
        </w:rPr>
        <w:t>Американская Ассоциация лесной и бумажной промышленности (American Forest and Paper Association)</w:t>
      </w:r>
      <w:r>
        <w:rPr>
          <w:rFonts w:ascii="Times New Roman" w:hAnsi="Times New Roman" w:cs="Times New Roman"/>
          <w:sz w:val="24"/>
          <w:szCs w:val="24"/>
        </w:rPr>
        <w:t xml:space="preserve">. Цель организации – улучшить имидж отрасли в глазах конечных потребителей. </w:t>
      </w:r>
    </w:p>
    <w:p w14:paraId="39B7E7C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Все рассматриваемые объединения, были созданы известными представителями бизнеса, при осознании воздействие экологического поведения своих конкурентов на собственную рентабельность. В большей мере это обусловлено репутационными издержками от наличия в отрасли загрязняющих фирм, которые оказывает негативное влияние на имидж более экологически сознательных участников в глазах конечных потребителей и контрагентов.</w:t>
      </w:r>
    </w:p>
    <w:p w14:paraId="5F444B0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На основе практики зарубежного экологического саморегулирования можно сформулировать следующие гипотезы для эмпирического обследования российских компаний: </w:t>
      </w:r>
    </w:p>
    <w:p w14:paraId="59FF6E8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1. Экологическому саморегулированию следует развиваться в формах отраслевого саморегулирования. </w:t>
      </w:r>
    </w:p>
    <w:p w14:paraId="373F740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 Наибольшие перспективы у экологического саморегулирования имеются в отраслях с отрицательной репутацией в глазах потребителей, либо в отраслях ориентированных на зарубежный рынок.</w:t>
      </w:r>
    </w:p>
    <w:p w14:paraId="1853F61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 С точки зрения инвестиционной привлекательности компании будут более заинтересованы в участии в делегированном СРО, что даст им возможность наладить диалог с органами власти, особенно, если участники получат полномочия для участия в законотворческой деятельности.</w:t>
      </w:r>
    </w:p>
    <w:p w14:paraId="68154C6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Для развития экологического саморегулирования необходимо, чтобы бизнес-сообщество было мотивированно «изнутри» к коллективным действиям по защите окружающей среды, т.к. самоорганизация, как уже отмечалось выше, носит эволюционный характер. А в условиях данной отрасли остро стоит проблема возможности коммерциализации экологии, что является препятствием для развития СРО.  Бизнесу необходимо осознание того, что отрицательное влияние на окружающую среду сегодня – это его низкая экономическая эффективность в будущем. И наоборот, инвестиции в решение и предотвращение экологических проблем являются основой получения дополнительной ренты.  </w:t>
      </w:r>
    </w:p>
    <w:p w14:paraId="142159D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Таким образом, наибольшая эффективность процесса регулирования экологической сферы в условиях развития инновационной экономики, достигается путем коалиционного взаимодействия государства, бизнеса и общества, что позволяет учитывать интересы всех экономических субъектов.</w:t>
      </w:r>
    </w:p>
    <w:p w14:paraId="5E809D6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p>
    <w:p w14:paraId="0723E59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sz w:val="24"/>
          <w:szCs w:val="24"/>
        </w:rPr>
      </w:pPr>
      <w:r>
        <w:rPr>
          <w:rFonts w:ascii="Times New Roman" w:hAnsi="Times New Roman" w:cs="Times New Roman"/>
          <w:b/>
          <w:sz w:val="24"/>
          <w:szCs w:val="24"/>
        </w:rPr>
        <w:t>Библиографический список</w:t>
      </w:r>
    </w:p>
    <w:p w14:paraId="072AC166" w14:textId="77777777" w:rsidR="001B6C3B" w:rsidRDefault="001B6C3B" w:rsidP="00E3198A">
      <w:pPr>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lastRenderedPageBreak/>
        <w:t>Баулина А.А. Экономическая привлекательность участия бизнеса в экологическом саморегулировании, Научные исследования экономического факультета. Электронный журнал, 2010. Т. 2, № 2, С. 72-95.</w:t>
      </w:r>
    </w:p>
    <w:p w14:paraId="0E4A11BE" w14:textId="77777777" w:rsidR="001B6C3B" w:rsidRDefault="001B6C3B" w:rsidP="00E3198A">
      <w:pPr>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Лескова Ю.Г.  К вопросу об особенностях систем органов саморегулируемой организации, Вестник евразийской академии административных наук,  2012.  № 3(20), С. 85-97.</w:t>
      </w:r>
    </w:p>
    <w:p w14:paraId="4A975587" w14:textId="77777777" w:rsidR="001B6C3B" w:rsidRDefault="001B6C3B" w:rsidP="00E3198A">
      <w:pPr>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Лескова Ю.Г.  Саморегулируемые организации в системе некоммерческих корпоративных организаций, Юридическая наука, 2011. № 3, С. 39-42.</w:t>
      </w:r>
    </w:p>
    <w:p w14:paraId="2AB8FC07" w14:textId="77777777" w:rsidR="001B6C3B" w:rsidRDefault="001B6C3B" w:rsidP="00E3198A">
      <w:pPr>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Лескова Ю.Г. Саморегулирование как экономическое и правовое явления, журнал российского права,  2011. № 5, С. 48-56.</w:t>
      </w:r>
    </w:p>
    <w:p w14:paraId="15A9662C" w14:textId="77777777" w:rsidR="001B6C3B" w:rsidRDefault="001B6C3B" w:rsidP="00E3198A">
      <w:pPr>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Орлова И.Г. Экологический аудит: саморегулирование, лицензирование или аккредитация?, Экологический вестник России, 2014. № 8, С. 32-37.</w:t>
      </w:r>
    </w:p>
    <w:p w14:paraId="1EC1605B" w14:textId="77777777" w:rsidR="001B6C3B" w:rsidRDefault="001B6C3B" w:rsidP="00E3198A">
      <w:pPr>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Романова О.А. О развитии саморегулирования в сфере природопользования как одного из факторов устойчивого развития территорий в Российской Федерации, Lex Russica, 2018. № 5 (138), С. 72-84.</w:t>
      </w:r>
    </w:p>
    <w:p w14:paraId="7B9A49A3" w14:textId="77777777" w:rsidR="001B6C3B" w:rsidRDefault="001B6C3B" w:rsidP="00E3198A">
      <w:pPr>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Слесарев М.Ю., Чернышев А.В. Концепции самоорганизации и саморегулирования в практике технического регулирования, Промышленное и гражданское строительство,2011.  № 4, С. 47-49.</w:t>
      </w:r>
    </w:p>
    <w:p w14:paraId="6907F676" w14:textId="77777777" w:rsidR="001B6C3B" w:rsidRDefault="001B6C3B" w:rsidP="00E3198A">
      <w:pPr>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Цгоев Т.Ф., Теблоев Р.А Многофакторность и проблема саморегулирования в системе "природа и общество", Труды СКГМИ (ГТУ),  2011. № 18, С. 228-232.</w:t>
      </w:r>
    </w:p>
    <w:p w14:paraId="7186FDA2" w14:textId="77777777" w:rsidR="001B6C3B" w:rsidRDefault="001B6C3B" w:rsidP="00E3198A">
      <w:pPr>
        <w:pStyle w:val="a5"/>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ascii="Times New Roman" w:hAnsi="Times New Roman" w:cs="Times New Roman"/>
          <w:sz w:val="24"/>
          <w:szCs w:val="24"/>
          <w:lang w:val="en-US"/>
        </w:rPr>
      </w:pPr>
      <w:r>
        <w:rPr>
          <w:rFonts w:ascii="Times New Roman" w:hAnsi="Times New Roman" w:cs="Times New Roman"/>
          <w:sz w:val="24"/>
          <w:szCs w:val="24"/>
          <w:lang w:val="en-US"/>
        </w:rPr>
        <w:t>Andrew A. King And Michael J.Lenox Industry Self-Regulation Without Sanctions,  The Chemical Industry'S Responsible Care Program The Academy Of Management Journal, 2000. Vol. 43, № 4, pp. 72–80.</w:t>
      </w:r>
    </w:p>
    <w:p w14:paraId="62BD17D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lang w:val="en-US"/>
        </w:rPr>
        <w:sectPr w:rsidR="001B6C3B">
          <w:footnotePr>
            <w:numRestart w:val="eachPage"/>
          </w:footnotePr>
          <w:pgSz w:w="11906" w:h="16838"/>
          <w:pgMar w:top="1134" w:right="1134" w:bottom="1134" w:left="1134" w:header="708" w:footer="708" w:gutter="0"/>
          <w:cols w:space="720"/>
        </w:sectPr>
      </w:pPr>
    </w:p>
    <w:p w14:paraId="0B48E489" w14:textId="77777777" w:rsidR="001B6C3B" w:rsidRDefault="001B6C3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09"/>
        <w:jc w:val="both"/>
        <w:rPr>
          <w:rFonts w:ascii="Times New Roman" w:hAnsi="Times New Roman" w:cs="Times New Roman"/>
        </w:rPr>
      </w:pPr>
    </w:p>
    <w:p w14:paraId="0674033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103"/>
        <w:jc w:val="both"/>
        <w:rPr>
          <w:rFonts w:ascii="Times New Roman" w:eastAsia="Courier New" w:hAnsi="Times New Roman" w:cs="Times New Roman"/>
          <w:b/>
          <w:sz w:val="24"/>
          <w:szCs w:val="24"/>
        </w:rPr>
      </w:pPr>
      <w:r>
        <w:rPr>
          <w:rFonts w:ascii="Times New Roman" w:eastAsia="Courier New" w:hAnsi="Times New Roman" w:cs="Times New Roman"/>
          <w:b/>
          <w:sz w:val="24"/>
          <w:szCs w:val="24"/>
        </w:rPr>
        <w:t>УДК 347</w:t>
      </w:r>
    </w:p>
    <w:p w14:paraId="2BAAEA6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103"/>
        <w:jc w:val="both"/>
        <w:rPr>
          <w:rFonts w:ascii="Times New Roman" w:hAnsi="Times New Roman" w:cs="Times New Roman"/>
          <w:b/>
          <w:sz w:val="24"/>
          <w:szCs w:val="24"/>
        </w:rPr>
      </w:pPr>
      <w:r>
        <w:rPr>
          <w:rFonts w:ascii="Times New Roman" w:hAnsi="Times New Roman" w:cs="Times New Roman"/>
          <w:b/>
          <w:sz w:val="24"/>
          <w:szCs w:val="24"/>
        </w:rPr>
        <w:t>Струкова Татьяна Александровна</w:t>
      </w:r>
    </w:p>
    <w:p w14:paraId="56EE6FF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103"/>
        <w:jc w:val="both"/>
        <w:rPr>
          <w:rFonts w:ascii="Times New Roman" w:hAnsi="Times New Roman" w:cs="Times New Roman"/>
          <w:b/>
          <w:sz w:val="24"/>
          <w:szCs w:val="24"/>
        </w:rPr>
      </w:pPr>
      <w:r>
        <w:rPr>
          <w:rFonts w:ascii="Times New Roman" w:hAnsi="Times New Roman" w:cs="Times New Roman"/>
          <w:b/>
          <w:sz w:val="24"/>
          <w:szCs w:val="24"/>
          <w:lang w:val="en-US"/>
        </w:rPr>
        <w:t>Strukova Tatya</w:t>
      </w:r>
      <w:r>
        <w:rPr>
          <w:rFonts w:ascii="Times New Roman" w:hAnsi="Times New Roman" w:cs="Times New Roman"/>
          <w:b/>
          <w:sz w:val="24"/>
          <w:szCs w:val="24"/>
        </w:rPr>
        <w:t xml:space="preserve">na </w:t>
      </w:r>
      <w:r>
        <w:rPr>
          <w:rFonts w:ascii="Times New Roman" w:hAnsi="Times New Roman" w:cs="Times New Roman"/>
          <w:b/>
          <w:sz w:val="24"/>
          <w:szCs w:val="24"/>
          <w:lang w:val="en-US"/>
        </w:rPr>
        <w:t>Aleksandro</w:t>
      </w:r>
      <w:r>
        <w:rPr>
          <w:rFonts w:ascii="Times New Roman" w:hAnsi="Times New Roman" w:cs="Times New Roman"/>
          <w:b/>
          <w:sz w:val="24"/>
          <w:szCs w:val="24"/>
        </w:rPr>
        <w:t>vna</w:t>
      </w:r>
    </w:p>
    <w:p w14:paraId="14494F3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103"/>
        <w:jc w:val="both"/>
        <w:rPr>
          <w:rFonts w:ascii="Times New Roman" w:hAnsi="Times New Roman" w:cs="Times New Roman"/>
          <w:sz w:val="24"/>
          <w:szCs w:val="24"/>
        </w:rPr>
      </w:pPr>
      <w:r>
        <w:rPr>
          <w:rFonts w:ascii="Times New Roman" w:hAnsi="Times New Roman" w:cs="Times New Roman"/>
          <w:sz w:val="24"/>
          <w:szCs w:val="24"/>
        </w:rPr>
        <w:t>бакалавр Федеральное государственное бюджетное образовательное учреждение высшего образования «Кубанский государственный аграрный университет имени И.Т. Трубилина»</w:t>
      </w:r>
    </w:p>
    <w:p w14:paraId="5B6FA7B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103"/>
        <w:jc w:val="both"/>
        <w:rPr>
          <w:rFonts w:ascii="Times New Roman" w:hAnsi="Times New Roman" w:cs="Times New Roman"/>
          <w:sz w:val="24"/>
          <w:szCs w:val="24"/>
          <w:lang w:val="en-US"/>
        </w:rPr>
      </w:pPr>
      <w:r>
        <w:rPr>
          <w:rFonts w:ascii="Times New Roman" w:hAnsi="Times New Roman" w:cs="Times New Roman"/>
          <w:sz w:val="24"/>
          <w:szCs w:val="24"/>
          <w:lang w:val="en-US"/>
        </w:rPr>
        <w:t>Federal State Budgetary Educational Institution of Higher Education</w:t>
      </w:r>
    </w:p>
    <w:p w14:paraId="6582426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103"/>
        <w:jc w:val="both"/>
        <w:rPr>
          <w:rFonts w:ascii="Times New Roman" w:hAnsi="Times New Roman" w:cs="Times New Roman"/>
          <w:sz w:val="24"/>
          <w:szCs w:val="24"/>
          <w:lang w:val="en-US"/>
        </w:rPr>
      </w:pPr>
      <w:r>
        <w:rPr>
          <w:rFonts w:ascii="Times New Roman" w:hAnsi="Times New Roman" w:cs="Times New Roman"/>
          <w:sz w:val="24"/>
          <w:szCs w:val="24"/>
          <w:lang w:val="en-US"/>
        </w:rPr>
        <w:t>“Kuban State Agrarian University named after I.T. Trubilin”</w:t>
      </w:r>
    </w:p>
    <w:p w14:paraId="5139DC8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103"/>
        <w:jc w:val="both"/>
        <w:rPr>
          <w:rFonts w:ascii="Times New Roman" w:hAnsi="Times New Roman" w:cs="Times New Roman"/>
          <w:sz w:val="24"/>
          <w:szCs w:val="24"/>
        </w:rPr>
      </w:pPr>
      <w:r>
        <w:rPr>
          <w:rFonts w:ascii="Times New Roman" w:hAnsi="Times New Roman" w:cs="Times New Roman"/>
          <w:sz w:val="24"/>
          <w:szCs w:val="24"/>
        </w:rPr>
        <w:t>Российская Федерация, г. Краснодар</w:t>
      </w:r>
    </w:p>
    <w:p w14:paraId="33CE1DF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103"/>
        <w:jc w:val="both"/>
        <w:rPr>
          <w:rFonts w:ascii="Times New Roman" w:hAnsi="Times New Roman" w:cs="Times New Roman"/>
          <w:sz w:val="24"/>
          <w:szCs w:val="24"/>
        </w:rPr>
      </w:pPr>
      <w:r>
        <w:rPr>
          <w:rFonts w:ascii="Times New Roman" w:hAnsi="Times New Roman" w:cs="Times New Roman"/>
          <w:sz w:val="24"/>
          <w:szCs w:val="24"/>
        </w:rPr>
        <w:t>Russian Federation, Krasnodar</w:t>
      </w:r>
    </w:p>
    <w:p w14:paraId="055FFD9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103"/>
        <w:jc w:val="both"/>
        <w:rPr>
          <w:rFonts w:ascii="Times New Roman" w:hAnsi="Times New Roman" w:cs="Times New Roman"/>
          <w:sz w:val="24"/>
          <w:szCs w:val="24"/>
        </w:rPr>
      </w:pPr>
      <w:r>
        <w:rPr>
          <w:rFonts w:ascii="Times New Roman" w:hAnsi="Times New Roman" w:cs="Times New Roman"/>
          <w:sz w:val="24"/>
          <w:szCs w:val="24"/>
          <w:lang w:val="en-US"/>
        </w:rPr>
        <w:t>tanya</w:t>
      </w:r>
      <w:r>
        <w:rPr>
          <w:rFonts w:ascii="Times New Roman" w:hAnsi="Times New Roman" w:cs="Times New Roman"/>
          <w:sz w:val="24"/>
          <w:szCs w:val="24"/>
        </w:rPr>
        <w:t>.</w:t>
      </w:r>
      <w:r>
        <w:rPr>
          <w:rFonts w:ascii="Times New Roman" w:hAnsi="Times New Roman" w:cs="Times New Roman"/>
          <w:sz w:val="24"/>
          <w:szCs w:val="24"/>
          <w:lang w:val="en-US"/>
        </w:rPr>
        <w:t>strukova</w:t>
      </w:r>
      <w:r>
        <w:rPr>
          <w:rFonts w:ascii="Times New Roman" w:hAnsi="Times New Roman" w:cs="Times New Roman"/>
          <w:sz w:val="24"/>
          <w:szCs w:val="24"/>
        </w:rPr>
        <w:t>1999@</w:t>
      </w:r>
      <w:r>
        <w:rPr>
          <w:rFonts w:ascii="Times New Roman" w:hAnsi="Times New Roman" w:cs="Times New Roman"/>
          <w:sz w:val="24"/>
          <w:szCs w:val="24"/>
          <w:lang w:val="en-US"/>
        </w:rPr>
        <w:t>mail</w:t>
      </w:r>
      <w:r>
        <w:rPr>
          <w:rFonts w:ascii="Times New Roman" w:hAnsi="Times New Roman" w:cs="Times New Roman"/>
          <w:sz w:val="24"/>
          <w:szCs w:val="24"/>
        </w:rPr>
        <w:t>.</w:t>
      </w:r>
      <w:r>
        <w:rPr>
          <w:rFonts w:ascii="Times New Roman" w:hAnsi="Times New Roman" w:cs="Times New Roman"/>
          <w:sz w:val="24"/>
          <w:szCs w:val="24"/>
          <w:lang w:val="en-US"/>
        </w:rPr>
        <w:t>ru</w:t>
      </w:r>
    </w:p>
    <w:p w14:paraId="4E9095E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ourier New" w:hAnsi="Times New Roman" w:cs="Times New Roman"/>
          <w:b/>
          <w:sz w:val="24"/>
          <w:szCs w:val="24"/>
        </w:rPr>
      </w:pPr>
    </w:p>
    <w:p w14:paraId="1BD35EB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eastAsia="Courier New" w:hAnsi="Times New Roman" w:cs="Times New Roman"/>
          <w:b/>
          <w:sz w:val="24"/>
          <w:szCs w:val="24"/>
        </w:rPr>
      </w:pPr>
      <w:r>
        <w:rPr>
          <w:rFonts w:ascii="Times New Roman" w:eastAsia="Courier New" w:hAnsi="Times New Roman" w:cs="Times New Roman"/>
          <w:b/>
          <w:sz w:val="24"/>
          <w:szCs w:val="24"/>
        </w:rPr>
        <w:t>К ВОПРОСУ О ЗНАЧЕНИИ МОТИВИРОВОЧНОЙ ЧАСТИ СУДЕБНОГО РЕШЕНИЯ</w:t>
      </w:r>
    </w:p>
    <w:p w14:paraId="16E4606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eastAsia="Courier New" w:hAnsi="Times New Roman" w:cs="Times New Roman"/>
          <w:b/>
          <w:sz w:val="24"/>
          <w:szCs w:val="24"/>
        </w:rPr>
      </w:pPr>
    </w:p>
    <w:p w14:paraId="525225E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eastAsia="Courier New" w:hAnsi="Times New Roman" w:cs="Times New Roman"/>
          <w:b/>
          <w:sz w:val="24"/>
          <w:szCs w:val="24"/>
          <w:lang w:val="en-US"/>
        </w:rPr>
      </w:pPr>
      <w:r>
        <w:rPr>
          <w:rFonts w:ascii="Times New Roman" w:eastAsia="Courier New" w:hAnsi="Times New Roman" w:cs="Times New Roman"/>
          <w:b/>
          <w:sz w:val="24"/>
          <w:szCs w:val="24"/>
          <w:lang w:val="en-US"/>
        </w:rPr>
        <w:t>TO THE QUESTION OF THE VALUE OF THE MOTIVATION PART OF THE JUDICIAL DECISION</w:t>
      </w:r>
    </w:p>
    <w:p w14:paraId="3485FA3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ourier New" w:hAnsi="Times New Roman" w:cs="Times New Roman"/>
          <w:i/>
          <w:sz w:val="24"/>
          <w:szCs w:val="24"/>
          <w:lang w:val="en-US"/>
        </w:rPr>
      </w:pPr>
    </w:p>
    <w:p w14:paraId="12DE141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eastAsia="Courier New" w:hAnsi="Times New Roman" w:cs="Times New Roman"/>
          <w:i/>
          <w:sz w:val="24"/>
          <w:szCs w:val="24"/>
        </w:rPr>
        <w:t>Аннотация.</w:t>
      </w:r>
      <w:r>
        <w:rPr>
          <w:rFonts w:ascii="Times New Roman" w:eastAsia="Courier New" w:hAnsi="Times New Roman" w:cs="Times New Roman"/>
          <w:b/>
          <w:sz w:val="24"/>
          <w:szCs w:val="24"/>
        </w:rPr>
        <w:t xml:space="preserve"> </w:t>
      </w:r>
      <w:r>
        <w:rPr>
          <w:rFonts w:ascii="Times New Roman" w:hAnsi="Times New Roman" w:cs="Times New Roman"/>
          <w:sz w:val="24"/>
          <w:szCs w:val="24"/>
        </w:rPr>
        <w:t>В статье изложена сущность мотивировочной части судебного решения, её значение и роль в процессе осуществления правосудия. Раскрывается проблема необязательности составления мотивировочной части судебных решений. Исследуются возможные как позитивные, так и негативные последствия отмены обязательного составления мотивировочной части.</w:t>
      </w:r>
    </w:p>
    <w:p w14:paraId="6CB64C1D" w14:textId="77777777" w:rsidR="001B6C3B" w:rsidRDefault="001B6C3B" w:rsidP="001B6C3B">
      <w:pPr>
        <w:widowControl w:val="0"/>
        <w:tabs>
          <w:tab w:val="left" w:pos="8223"/>
        </w:tabs>
        <w:spacing w:after="0" w:line="240" w:lineRule="auto"/>
        <w:ind w:firstLine="709"/>
        <w:jc w:val="both"/>
        <w:rPr>
          <w:rFonts w:ascii="Times New Roman" w:eastAsia="Courier New" w:hAnsi="Times New Roman" w:cs="Times New Roman"/>
          <w:sz w:val="24"/>
          <w:szCs w:val="24"/>
        </w:rPr>
      </w:pPr>
      <w:r>
        <w:rPr>
          <w:rFonts w:ascii="Times New Roman" w:eastAsia="Courier New" w:hAnsi="Times New Roman" w:cs="Times New Roman"/>
          <w:i/>
          <w:sz w:val="24"/>
          <w:szCs w:val="24"/>
        </w:rPr>
        <w:t>Ключевые слова:</w:t>
      </w:r>
      <w:r>
        <w:rPr>
          <w:rFonts w:ascii="Times New Roman" w:eastAsia="Courier New" w:hAnsi="Times New Roman" w:cs="Times New Roman"/>
          <w:b/>
          <w:sz w:val="24"/>
          <w:szCs w:val="24"/>
        </w:rPr>
        <w:t xml:space="preserve"> </w:t>
      </w:r>
      <w:r>
        <w:rPr>
          <w:rFonts w:ascii="Times New Roman" w:eastAsia="Courier New" w:hAnsi="Times New Roman" w:cs="Times New Roman"/>
          <w:sz w:val="24"/>
          <w:szCs w:val="24"/>
        </w:rPr>
        <w:t>гражданское судопроизводство,</w:t>
      </w:r>
      <w:r>
        <w:rPr>
          <w:rFonts w:ascii="Times New Roman" w:eastAsia="Courier New" w:hAnsi="Times New Roman" w:cs="Times New Roman"/>
          <w:b/>
          <w:sz w:val="24"/>
          <w:szCs w:val="24"/>
        </w:rPr>
        <w:t xml:space="preserve"> </w:t>
      </w:r>
      <w:r>
        <w:rPr>
          <w:rFonts w:ascii="Times New Roman" w:eastAsia="Courier New" w:hAnsi="Times New Roman" w:cs="Times New Roman"/>
          <w:sz w:val="24"/>
          <w:szCs w:val="24"/>
        </w:rPr>
        <w:t>законность и обоснованность, мотивированность, правосудие, мотивировочная часть, судебное решение, апелляционная жалоба, мировой судья, преюдициальность.</w:t>
      </w:r>
    </w:p>
    <w:p w14:paraId="2892DB7D" w14:textId="77777777" w:rsidR="001B6C3B" w:rsidRDefault="001B6C3B" w:rsidP="001B6C3B">
      <w:pPr>
        <w:widowControl w:val="0"/>
        <w:tabs>
          <w:tab w:val="left" w:pos="8223"/>
        </w:tabs>
        <w:spacing w:after="0" w:line="240" w:lineRule="auto"/>
        <w:ind w:firstLine="709"/>
        <w:jc w:val="both"/>
        <w:rPr>
          <w:rFonts w:ascii="Times New Roman" w:eastAsia="Courier New" w:hAnsi="Times New Roman" w:cs="Times New Roman"/>
          <w:sz w:val="24"/>
          <w:szCs w:val="24"/>
          <w:lang w:val="en-US"/>
        </w:rPr>
      </w:pPr>
      <w:r>
        <w:rPr>
          <w:rFonts w:ascii="Times New Roman" w:eastAsia="Courier New" w:hAnsi="Times New Roman" w:cs="Times New Roman"/>
          <w:i/>
          <w:sz w:val="24"/>
          <w:szCs w:val="24"/>
          <w:lang w:val="en-US"/>
        </w:rPr>
        <w:t>Annotation.</w:t>
      </w:r>
      <w:r>
        <w:rPr>
          <w:rFonts w:ascii="Times New Roman" w:eastAsia="Courier New" w:hAnsi="Times New Roman" w:cs="Times New Roman"/>
          <w:sz w:val="24"/>
          <w:szCs w:val="24"/>
          <w:lang w:val="en-US"/>
        </w:rPr>
        <w:t xml:space="preserve"> The article describes the essence of the motivational part of the court decision, its significance and role in the process of administering justice. The problem of non-compilation of the reasoning part of court decisions is revealed. The possible positive and negative consequences of the abolition of the mandatory compilation of the motivation part are investigated.</w:t>
      </w:r>
    </w:p>
    <w:p w14:paraId="24FB1411" w14:textId="77777777" w:rsidR="001B6C3B" w:rsidRDefault="001B6C3B" w:rsidP="001B6C3B">
      <w:pPr>
        <w:widowControl w:val="0"/>
        <w:tabs>
          <w:tab w:val="left" w:pos="8223"/>
        </w:tabs>
        <w:spacing w:after="0" w:line="240" w:lineRule="auto"/>
        <w:ind w:firstLine="709"/>
        <w:jc w:val="both"/>
        <w:rPr>
          <w:rFonts w:ascii="Times New Roman" w:eastAsia="Courier New" w:hAnsi="Times New Roman" w:cs="Times New Roman"/>
          <w:sz w:val="24"/>
          <w:szCs w:val="24"/>
          <w:lang w:val="en-US"/>
        </w:rPr>
      </w:pPr>
      <w:r>
        <w:rPr>
          <w:rFonts w:ascii="Times New Roman" w:eastAsia="Courier New" w:hAnsi="Times New Roman" w:cs="Times New Roman"/>
          <w:i/>
          <w:sz w:val="24"/>
          <w:szCs w:val="24"/>
          <w:lang w:val="en-US"/>
        </w:rPr>
        <w:t>Keywords:</w:t>
      </w:r>
      <w:r>
        <w:rPr>
          <w:rFonts w:ascii="Times New Roman" w:eastAsia="Courier New" w:hAnsi="Times New Roman" w:cs="Times New Roman"/>
          <w:sz w:val="24"/>
          <w:szCs w:val="24"/>
          <w:lang w:val="en-US"/>
        </w:rPr>
        <w:t xml:space="preserve"> civil proceedings, legality and validity, motivation, justice, motivation, court decision, appeal, bill, prejudice.</w:t>
      </w:r>
    </w:p>
    <w:p w14:paraId="4F3D98DB" w14:textId="77777777" w:rsidR="001B6C3B" w:rsidRDefault="001B6C3B" w:rsidP="001B6C3B">
      <w:pPr>
        <w:widowControl w:val="0"/>
        <w:tabs>
          <w:tab w:val="left" w:pos="8223"/>
        </w:tabs>
        <w:spacing w:after="0" w:line="240" w:lineRule="auto"/>
        <w:ind w:firstLine="709"/>
        <w:jc w:val="both"/>
        <w:rPr>
          <w:rFonts w:ascii="Times New Roman" w:eastAsia="Courier New" w:hAnsi="Times New Roman" w:cs="Times New Roman"/>
          <w:sz w:val="24"/>
          <w:szCs w:val="24"/>
          <w:lang w:val="en-US"/>
        </w:rPr>
      </w:pPr>
    </w:p>
    <w:p w14:paraId="091DEABF" w14:textId="77777777" w:rsidR="001B6C3B" w:rsidRDefault="001B6C3B" w:rsidP="001B6C3B">
      <w:pPr>
        <w:widowControl w:val="0"/>
        <w:tabs>
          <w:tab w:val="left" w:pos="8223"/>
        </w:tabs>
        <w:spacing w:after="0" w:line="240" w:lineRule="auto"/>
        <w:ind w:firstLine="709"/>
        <w:jc w:val="both"/>
        <w:rPr>
          <w:rFonts w:ascii="Times New Roman" w:eastAsia="Courier New" w:hAnsi="Times New Roman" w:cs="Times New Roman"/>
          <w:sz w:val="24"/>
          <w:szCs w:val="24"/>
          <w:lang w:val="en-US"/>
        </w:rPr>
      </w:pPr>
    </w:p>
    <w:p w14:paraId="5BC3450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Cs/>
          <w:spacing w:val="-4"/>
          <w:sz w:val="24"/>
          <w:szCs w:val="24"/>
          <w:shd w:val="clear" w:color="auto" w:fill="FFFFFF"/>
        </w:rPr>
      </w:pPr>
      <w:r>
        <w:rPr>
          <w:rFonts w:ascii="Times New Roman" w:hAnsi="Times New Roman" w:cs="Times New Roman"/>
          <w:sz w:val="24"/>
          <w:szCs w:val="24"/>
          <w:shd w:val="clear" w:color="auto" w:fill="FFFFFF"/>
        </w:rPr>
        <w:t>Эффективность судебного решения, его исполнимость и воспитательное значение зависят «от полноты и убедительности решения в целом, особенно его мотивировочной части, где содержатся юридическое и фактическое обоснование выводов по существу заявленных требований», - так высказался относительно роли мотивировочной части судебного решения П.Я. Трубников.</w:t>
      </w:r>
      <w:r>
        <w:rPr>
          <w:rStyle w:val="a7"/>
          <w:rFonts w:ascii="Times New Roman" w:hAnsi="Times New Roman" w:cs="Times New Roman"/>
          <w:sz w:val="24"/>
          <w:szCs w:val="24"/>
          <w:shd w:val="clear" w:color="auto" w:fill="FFFFFF"/>
        </w:rPr>
        <w:footnoteReference w:id="344"/>
      </w:r>
      <w:r>
        <w:rPr>
          <w:rFonts w:ascii="Times New Roman" w:hAnsi="Times New Roman" w:cs="Times New Roman"/>
          <w:sz w:val="24"/>
          <w:szCs w:val="24"/>
          <w:shd w:val="clear" w:color="auto" w:fill="FFFFFF"/>
        </w:rPr>
        <w:t xml:space="preserve"> С мнением советского юриста невозможно не согласиться, поскольку </w:t>
      </w:r>
      <w:r>
        <w:rPr>
          <w:rFonts w:ascii="Times New Roman" w:hAnsi="Times New Roman" w:cs="Times New Roman"/>
          <w:sz w:val="24"/>
          <w:szCs w:val="24"/>
        </w:rPr>
        <w:t xml:space="preserve">немотивированные судебные решения не обеспечивают надлежащего выполнения задач гражданского судопроизводства, снижают общественно - политическое и воспитательное значение судебной деятельности по рассмотрению гражданских дел.  Мотивировка является </w:t>
      </w:r>
      <w:r>
        <w:rPr>
          <w:rFonts w:ascii="Times New Roman" w:hAnsi="Times New Roman" w:cs="Times New Roman"/>
          <w:bCs/>
          <w:spacing w:val="-4"/>
          <w:sz w:val="24"/>
          <w:szCs w:val="24"/>
          <w:shd w:val="clear" w:color="auto" w:fill="FFFFFF"/>
        </w:rPr>
        <w:t>сущностной характеристикой содержания судебного решения, она представляет собой</w:t>
      </w:r>
      <w:r>
        <w:rPr>
          <w:rFonts w:ascii="Times New Roman" w:hAnsi="Times New Roman" w:cs="Times New Roman"/>
          <w:sz w:val="24"/>
          <w:szCs w:val="24"/>
        </w:rPr>
        <w:t xml:space="preserve"> систему доводов, аргументов, соображений фактического, логического и правового характера, приводящих к определенным выводам по делу, </w:t>
      </w:r>
      <w:r>
        <w:rPr>
          <w:rFonts w:ascii="Times New Roman" w:hAnsi="Times New Roman" w:cs="Times New Roman"/>
          <w:bCs/>
          <w:spacing w:val="-4"/>
          <w:sz w:val="24"/>
          <w:szCs w:val="24"/>
          <w:shd w:val="clear" w:color="auto" w:fill="FFFFFF"/>
        </w:rPr>
        <w:t xml:space="preserve">последовательно отражает процесс </w:t>
      </w:r>
      <w:r>
        <w:rPr>
          <w:rFonts w:ascii="Times New Roman" w:hAnsi="Times New Roman" w:cs="Times New Roman"/>
          <w:bCs/>
          <w:spacing w:val="-4"/>
          <w:sz w:val="24"/>
          <w:szCs w:val="24"/>
          <w:shd w:val="clear" w:color="auto" w:fill="FFFFFF"/>
        </w:rPr>
        <w:lastRenderedPageBreak/>
        <w:t xml:space="preserve">формирования у судьи внутреннего убеждения, которым он руководствуется, разрешая конкретное дело. </w:t>
      </w:r>
      <w:r>
        <w:rPr>
          <w:rFonts w:ascii="Times New Roman" w:hAnsi="Times New Roman" w:cs="Times New Roman"/>
          <w:bCs/>
          <w:spacing w:val="-5"/>
          <w:sz w:val="24"/>
          <w:szCs w:val="24"/>
        </w:rPr>
        <w:t>Исходя из этого, можно сделать вывод о том, что</w:t>
      </w:r>
      <w:r>
        <w:rPr>
          <w:rFonts w:ascii="Times New Roman" w:hAnsi="Times New Roman" w:cs="Times New Roman"/>
          <w:bCs/>
          <w:spacing w:val="-4"/>
          <w:sz w:val="24"/>
          <w:szCs w:val="24"/>
          <w:shd w:val="clear" w:color="auto" w:fill="FFFFFF"/>
        </w:rPr>
        <w:t xml:space="preserve"> каждое решение, которым разрешается гражданское дело, должно быть мотивированным. </w:t>
      </w:r>
    </w:p>
    <w:p w14:paraId="6D3CEF3E" w14:textId="77777777" w:rsidR="001B6C3B" w:rsidRDefault="001B6C3B" w:rsidP="001B6C3B">
      <w:pPr>
        <w:pStyle w:val="aa"/>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firstLine="709"/>
        <w:jc w:val="both"/>
        <w:rPr>
          <w:b/>
          <w:shd w:val="clear" w:color="auto" w:fill="FFFFFF"/>
        </w:rPr>
      </w:pPr>
      <w:r>
        <w:rPr>
          <w:bCs/>
          <w:spacing w:val="-4"/>
          <w:shd w:val="clear" w:color="auto" w:fill="FFFFFF"/>
        </w:rPr>
        <w:t>Проблеме</w:t>
      </w:r>
      <w:r>
        <w:rPr>
          <w:shd w:val="clear" w:color="auto" w:fill="FFFFFF"/>
        </w:rPr>
        <w:t xml:space="preserve"> мотивированности судебного решения уделял свое внимание еще Пленум Верховного суда СССР в своем Постановлении от 09.07.1982 г. «О судебном решении».</w:t>
      </w:r>
      <w:r>
        <w:rPr>
          <w:rStyle w:val="a7"/>
          <w:shd w:val="clear" w:color="auto" w:fill="FFFFFF"/>
        </w:rPr>
        <w:footnoteReference w:id="345"/>
      </w:r>
      <w:r>
        <w:rPr>
          <w:shd w:val="clear" w:color="auto" w:fill="FFFFFF"/>
        </w:rPr>
        <w:t xml:space="preserve"> В нем  определялась роль и значимость вынесения мотивировки. Современное гражданское процессуальное законодательство России не содержит </w:t>
      </w:r>
      <w:r>
        <w:t>прямого</w:t>
      </w:r>
      <w:r>
        <w:rPr>
          <w:shd w:val="clear" w:color="auto" w:fill="FFFFFF"/>
        </w:rPr>
        <w:t xml:space="preserve">  указания  на обязанность судей выносить мотивированные судебные решения.</w:t>
      </w:r>
      <w:r>
        <w:rPr>
          <w:rStyle w:val="a7"/>
          <w:shd w:val="clear" w:color="auto" w:fill="FFFFFF"/>
        </w:rPr>
        <w:footnoteReference w:id="346"/>
      </w:r>
      <w:r>
        <w:rPr>
          <w:shd w:val="clear" w:color="auto" w:fill="FFFFFF"/>
        </w:rPr>
        <w:t xml:space="preserve">  Статья 195 ГПК РФ предъявляет лишь два обязательных требования к судебному решению -  законность и обоснованность, при этом ничего не упоминая о мотивированности.</w:t>
      </w:r>
      <w:r>
        <w:rPr>
          <w:rStyle w:val="a7"/>
          <w:shd w:val="clear" w:color="auto" w:fill="FFFFFF"/>
        </w:rPr>
        <w:footnoteReference w:id="347"/>
      </w:r>
    </w:p>
    <w:p w14:paraId="55B31076" w14:textId="77777777" w:rsidR="001B6C3B" w:rsidRDefault="001B6C3B" w:rsidP="001B6C3B">
      <w:pPr>
        <w:pStyle w:val="aa"/>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firstLine="709"/>
        <w:jc w:val="both"/>
        <w:rPr>
          <w:shd w:val="clear" w:color="auto" w:fill="FFFFFF"/>
        </w:rPr>
      </w:pPr>
      <w:r>
        <w:t xml:space="preserve">В октябре 2017 года Верховный Суд РФ </w:t>
      </w:r>
      <w:r>
        <w:rPr>
          <w:noProof/>
          <w:spacing w:val="-58"/>
          <w:u w:val="words"/>
        </w:rPr>
        <w:t xml:space="preserve"> </w:t>
      </w:r>
      <w:r>
        <w:t xml:space="preserve">представил на рассмотрение Государственной Думе РФ проект Федерального закона, основная суть которого </w:t>
      </w:r>
      <w:r>
        <w:rPr>
          <w:shd w:val="clear" w:color="auto" w:fill="FFFFFF"/>
        </w:rPr>
        <w:t xml:space="preserve">касалась в том числе и текста судебного решения. ВС предлагал сохранить мотивировочную часть лишь для некоторых категорий дел, а именно: дел, которые связаны с охраной прав детей, выселением граждан из жилых помещений, банкротством и корпоративными спорами. Упразднение мотивировки по другим категориям дел аргументируется тем обстоятельством, что уровень судебной нагрузки стабильно высок. В большинстве случаев, участники процесса обращаются к мотивировочной части, а именно к правовым и фактическим обоснованиям позиции суда, тогда, когда собираются обжаловать вынесенное решение в вышестоящей инстанции. А происходит это всего в 11,5 % случаев, и только 2 % из этих судебных решений изменяется или отменяется. Верховный Суд РФ в обоснование своей позиции привел показательную статистику за 2017 год. Согласно официальным данным, за 2017 год было вынесено около 14 миллионов решений судами общей юрисдикции и около 1,5 миллионов решений – арбитражными судами. Из этого огромного количества дел обжаловано было только 565 658, что составляет всего 4 % от общего числа. </w:t>
      </w:r>
    </w:p>
    <w:p w14:paraId="518B7148" w14:textId="77777777" w:rsidR="001B6C3B" w:rsidRDefault="001B6C3B" w:rsidP="001B6C3B">
      <w:pPr>
        <w:pStyle w:val="aa"/>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firstLine="709"/>
        <w:jc w:val="both"/>
        <w:rPr>
          <w:shd w:val="clear" w:color="auto" w:fill="FFFFFF"/>
        </w:rPr>
      </w:pPr>
      <w:r>
        <w:rPr>
          <w:shd w:val="clear" w:color="auto" w:fill="FFFFFF"/>
        </w:rPr>
        <w:t>Другим аргументом является то, что отмена мотивировки поспособствует экономии,  как  времени, так и бюджетных средств. Ведь на изготовление мотивированного решения тратится до пяти рабочих дней, а расходы федерального бюджета на один день работы судьи составляют 23 990 рублей. Соответственно, сторонники законодательной инициативы считают, что выносить мотивировочную часть по каждому гражданскому делу - нерационально и непроизводительно, а предложенные нововведения как раз позволят сократить нагрузку на судей и освободят их от «лишней», по их мнению, работы, в которой, нет необходимости. Таким образом, если освободить судей от такой бессмысленной работы, то это позволит им заниматься действительно сложными делами, где есть правовой спор и требуется аналитическая  работа.</w:t>
      </w:r>
    </w:p>
    <w:p w14:paraId="6D85BF01" w14:textId="77777777" w:rsidR="001B6C3B" w:rsidRDefault="001B6C3B" w:rsidP="001B6C3B">
      <w:pPr>
        <w:pStyle w:val="aa"/>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firstLine="709"/>
        <w:jc w:val="both"/>
        <w:rPr>
          <w:shd w:val="clear" w:color="auto" w:fill="FFFFFF"/>
        </w:rPr>
      </w:pPr>
      <w:r>
        <w:rPr>
          <w:shd w:val="clear" w:color="auto" w:fill="FFFFFF"/>
        </w:rPr>
        <w:t xml:space="preserve">Но будут ли соответствовать такие нововведения принципу законности? Будут ли в таком случае </w:t>
      </w:r>
      <w:r>
        <w:rPr>
          <w:noProof/>
          <w:spacing w:val="-58"/>
          <w:u w:val="words"/>
        </w:rPr>
        <w:t xml:space="preserve"> </w:t>
      </w:r>
      <w:r>
        <w:rPr>
          <w:shd w:val="clear" w:color="auto" w:fill="FFFFFF"/>
        </w:rPr>
        <w:t>выноситься справедливые судебные решения?</w:t>
      </w:r>
      <w:r>
        <w:rPr>
          <w:rStyle w:val="a7"/>
          <w:shd w:val="clear" w:color="auto" w:fill="FFFFFF"/>
        </w:rPr>
        <w:footnoteReference w:id="348"/>
      </w:r>
      <w:r>
        <w:rPr>
          <w:shd w:val="clear" w:color="auto" w:fill="FFFFFF"/>
        </w:rPr>
        <w:t xml:space="preserve"> </w:t>
      </w:r>
      <w:r>
        <w:t xml:space="preserve">Вероятнее всего, нет, ведь именно в мотивировке </w:t>
      </w:r>
      <w:r>
        <w:rPr>
          <w:shd w:val="clear" w:color="auto" w:fill="FFFFFF"/>
        </w:rPr>
        <w:t xml:space="preserve">содержится объяснение, почему процесс принял тот или иной исход, какие аргументы этому поспособствовали, какими нормами законодательства руководствовался судья при этом. Немотивированные судебные акты будут порождать сомнения в объективности, справедливости и беспристрастности судей, а как следствие, подорвется авторитет судебной власти. Не стоит исключать и тот факт, что только мотивированное судебное решение дает возможность общественности понять, как осуществляется  правосудие, оценить, законны и обоснованы ли те решения, которые выносит </w:t>
      </w:r>
      <w:r>
        <w:rPr>
          <w:shd w:val="clear" w:color="auto" w:fill="FFFFFF"/>
        </w:rPr>
        <w:lastRenderedPageBreak/>
        <w:t>суд. Если гражданское общество будет лишено такой прерогативы, то всё это приведет к недоверию к суду, а доверие просто необходимо для спокойного сосуществования граждан в государстве.</w:t>
      </w:r>
    </w:p>
    <w:p w14:paraId="3EFD802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Другая проблема, которая возникает в связи с отсутствием в судебном решении мотивировочной части, заключается в том, каким же образом обжаловать такие решения. Ведь невозможно проверить законность и обоснованность решения, в котором будут отсутствовать выводы суда об установленных фактах, имеющих значение для дела, а также если в нем не будет указаний на то, какой нормой материального права руководствовался суд в конкретном деле и объяснений, почему именно она была применена судом. Сам Гражданский процессуальный кодекс Российской Федерации говорит нам о том, что мы обязаны в апелляционной жалобе (представлении) указывать основания, по которым считаем решение суда неверным. Если в судебном решении не будет грамотно составленной мотивировочной части, то и оснований нам неоткуда будет брать. </w:t>
      </w:r>
    </w:p>
    <w:p w14:paraId="1E2921B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обосновании нашей позиции, хочется привести в пример не так давно введенные изменения, коснувшиеся мировых судов. Федеральный Закон от 04.03.2013 г. № 20-ФЗ  наделил </w:t>
      </w:r>
      <w:r>
        <w:rPr>
          <w:rFonts w:ascii="Times New Roman" w:eastAsia="Times New Roman" w:hAnsi="Times New Roman" w:cs="Times New Roman"/>
          <w:sz w:val="24"/>
          <w:szCs w:val="24"/>
          <w:lang w:eastAsia="ru-RU"/>
        </w:rPr>
        <w:t>мировых судей правом не составлять мотивированные судебные решения и обязал их составлять мотивировочную часть только в том случае, если от лиц, участвующих в деле, либо их представителей поступит заявление о её составлении.</w:t>
      </w:r>
      <w:r>
        <w:rPr>
          <w:rStyle w:val="a7"/>
          <w:rFonts w:ascii="Times New Roman" w:eastAsia="Times New Roman" w:hAnsi="Times New Roman" w:cs="Times New Roman"/>
          <w:sz w:val="24"/>
          <w:szCs w:val="24"/>
          <w:lang w:eastAsia="ru-RU"/>
        </w:rPr>
        <w:footnoteReference w:id="349"/>
      </w:r>
      <w:r>
        <w:rPr>
          <w:rFonts w:ascii="Times New Roman" w:eastAsia="Times New Roman" w:hAnsi="Times New Roman" w:cs="Times New Roman"/>
          <w:sz w:val="24"/>
          <w:szCs w:val="24"/>
          <w:lang w:eastAsia="ru-RU"/>
        </w:rPr>
        <w:t xml:space="preserve"> И уже тогда у судей возник вопрос, что же делать на практике в том случае, если мировым судьей мотивировочная часть составлена не была, ввиду отсутствия нужного заявления, но при этом лицо обратилось в апелляционную инстанцию дабы обжаловать данный акт. На этот вопрос ответил Верховный Суд в обзоре судебной практики за второй квартал 2013 года - </w:t>
      </w:r>
      <w:r>
        <w:rPr>
          <w:rFonts w:ascii="Times New Roman" w:hAnsi="Times New Roman" w:cs="Times New Roman"/>
          <w:sz w:val="24"/>
          <w:szCs w:val="24"/>
          <w:shd w:val="clear" w:color="auto" w:fill="FFFFFF"/>
        </w:rPr>
        <w:t xml:space="preserve">мировой судья в таком случае должен составить мотивированное решение. И что же получается, одно дело - </w:t>
      </w:r>
      <w:r>
        <w:rPr>
          <w:rFonts w:ascii="Times New Roman" w:hAnsi="Times New Roman" w:cs="Times New Roman"/>
          <w:sz w:val="24"/>
          <w:szCs w:val="24"/>
        </w:rPr>
        <w:t>составить решение в полном объеме в течение пяти дней после оглашения резолютивной части решения, когда судья еще хорошо помнит суть рассмотренного дела, помнит всю исследованную доказательственную базу и все установленные факты.</w:t>
      </w:r>
      <w:r>
        <w:rPr>
          <w:rStyle w:val="a7"/>
          <w:rFonts w:ascii="Times New Roman" w:hAnsi="Times New Roman" w:cs="Times New Roman"/>
          <w:sz w:val="24"/>
          <w:szCs w:val="24"/>
        </w:rPr>
        <w:footnoteReference w:id="350"/>
      </w:r>
      <w:r>
        <w:rPr>
          <w:rFonts w:ascii="Times New Roman" w:hAnsi="Times New Roman" w:cs="Times New Roman"/>
          <w:sz w:val="24"/>
          <w:szCs w:val="24"/>
        </w:rPr>
        <w:t xml:space="preserve">  Совсем другое дело  - составлять полный текст решения в рамках срока апелляционного обжалования,  ведь он составляет целый месяц. А что, если заинтересованное лицо обратится в последний день такого срока или что еще хуже, с жалобой обратится лицо, которое вообще не было привлечено к участию в деле, но вынесенное решение затрагивает его права, и оно узнало о вынесенном решении по истечении довольно длительного времени? В таких случаях между моментом окончания рассмотрения дела по существу и моментом составления судебного решения в полном объеме может быть достаточно большой промежуток времени, а это означает то, что судье ничего не остается делать, кроме как по памяти восстанавливать все подробности рассмотренного дела, отражать их в мотивировочной части решения. С течением времени многие фактические обстоятельства дела и доказательства, их подтверждающие, могут быть просто забыты. Значит, сама судебная практика уже показала нецелесообразность и даже вредность введенного в отношении мировых судей новшества. Так для чего же расширять применение такой неэффективной новеллы, делая её общим правилом для всех судей?</w:t>
      </w:r>
    </w:p>
    <w:p w14:paraId="2AFF5E5F" w14:textId="77777777" w:rsidR="001B6C3B" w:rsidRDefault="001B6C3B" w:rsidP="001B6C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На проблему мотивированности судебных актов не раз обращал свое внимание и Европейский Суд по правам человека. Например, ещё в 1992 году, когда рассматривалось дело «Хаджианастасиу против Греции». Европейский Суд своим постановлением установил нарушение права на объективное судебное производство, обосновав свою позицию тем, что по делу было вынесено настолько краткое судебное решение, что из него в итоге не были ясны ни выводы суда, ни обоснования этих выводов, что в последствие привело к проблемам с подачей апелляционной жалобы. Таким образом, Европейский Суд по правам человека в очередной раз напомнил судам о том, что им следует достаточно ответственно подходить к процессу составления судебных актов, особенно тщательно продумывать текст </w:t>
      </w:r>
      <w:r>
        <w:rPr>
          <w:rFonts w:ascii="Times New Roman" w:hAnsi="Times New Roman" w:cs="Times New Roman"/>
          <w:sz w:val="24"/>
          <w:szCs w:val="24"/>
        </w:rPr>
        <w:lastRenderedPageBreak/>
        <w:t xml:space="preserve">мотивировочной части судебного решения, где как раз и содержатся все обоснования выводов, к которым пришел суд по конкретному делу. </w:t>
      </w:r>
    </w:p>
    <w:p w14:paraId="21D423C7" w14:textId="77777777" w:rsidR="001B6C3B" w:rsidRDefault="001B6C3B" w:rsidP="001B6C3B">
      <w:pPr>
        <w:pStyle w:val="aa"/>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firstLine="709"/>
        <w:jc w:val="both"/>
        <w:rPr>
          <w:shd w:val="clear" w:color="auto" w:fill="FFFFFF"/>
        </w:rPr>
      </w:pPr>
      <w:r>
        <w:rPr>
          <w:shd w:val="clear" w:color="auto" w:fill="FFFFFF"/>
        </w:rPr>
        <w:t>Учитывая всё вышесказанное, можно сделать вывод о том, что только мотивированное судебное решение позволяет лицам, участвующим в деле, обжаловать его, и только при наличии мотивированного судебного решения суды вышестоящей инстанции могут в полной мере проверить его на предмет законности и обоснованности.</w:t>
      </w:r>
    </w:p>
    <w:p w14:paraId="626D44C9" w14:textId="77777777" w:rsidR="001B6C3B" w:rsidRDefault="001B6C3B" w:rsidP="001B6C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Кроме того, возникает проблема и с институтом преюдиции, который выполняет важную функцию по недопущению с точки зрения правосудия конкуренции судебных актов. Правило о преюдициальности фактов предусмотрено частью 2 статьи 61 ГПК РФ, сводится оно к тому, что обстоятельства, установленные вступившими в законную силу судебными постановлениями, являются обязательными для суда. Они не «доказываются вновь и не подлежат оспариванию при рассмотрении другого дела» с участием тех же лиц. Как нами уже отмечалось, все выводы о фактах, все установленные обстоятельства как раз и находят свое выражение в мотивировочной части решения. Соответственно, не будет мотивированного решения – исчезнет и преюдициальность. Отмена мотивировки приведет к тому, что одни и те же факты по спору между теми же лицами  придется устанавливать несколько раз, что видится весьма нерациональным. Кроме того, при таком исходе не исключается возможность вынесения взаимоисключающих решений, так как суд, заново устанавливающий те же факты, может прийти прямо к противоположным выводам о них. </w:t>
      </w:r>
    </w:p>
    <w:p w14:paraId="14F4B567" w14:textId="77777777" w:rsidR="001B6C3B" w:rsidRDefault="001B6C3B" w:rsidP="001B6C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shd w:val="clear" w:color="auto" w:fill="FFFFFF"/>
        </w:rPr>
      </w:pPr>
      <w:r>
        <w:rPr>
          <w:rFonts w:ascii="Times New Roman" w:hAnsi="Times New Roman" w:cs="Times New Roman"/>
          <w:sz w:val="24"/>
          <w:szCs w:val="24"/>
        </w:rPr>
        <w:t xml:space="preserve">Таким образом, преимцщества отмены мотивировочной части судебного решения просто несопоставимы с указанными выше отрицательными последствиями, которые наступят в таком случае. Упразднение мотивировки  приведет к тому, что арбитры будут подходить к рассмотрению и разрешению гражданских дел безответственно и не будут, как положено, исследовать все фактические обстоятельства дела. Поэтому, хотелось бы призвать законодателя не только сохранить мотивировку для всех категорий дел, но и обратить его внимание на законодательство тех стран (например, Нидерланды, Бельгия),  где  за судьями закрепляется прямая обязанность </w:t>
      </w:r>
      <w:r>
        <w:rPr>
          <w:rFonts w:ascii="Times New Roman" w:hAnsi="Times New Roman" w:cs="Times New Roman"/>
          <w:sz w:val="24"/>
          <w:szCs w:val="24"/>
          <w:shd w:val="clear" w:color="auto" w:fill="FFFFFF"/>
        </w:rPr>
        <w:t>мотивировать выносимые ими судебные акты, а сама мотивированность стала одним из важнейших принципов процесса. На наш взгляд, следует перенять опыт зарубежных стран для повышения качества правосудия в Российской Федерации.</w:t>
      </w:r>
    </w:p>
    <w:p w14:paraId="0ADFF6DB" w14:textId="77777777" w:rsidR="001B6C3B" w:rsidRDefault="001B6C3B" w:rsidP="001B6C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shd w:val="clear" w:color="auto" w:fill="FFFFFF"/>
        </w:rPr>
      </w:pPr>
    </w:p>
    <w:p w14:paraId="4D0DD92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sz w:val="24"/>
          <w:szCs w:val="24"/>
        </w:rPr>
      </w:pPr>
      <w:r>
        <w:rPr>
          <w:rFonts w:ascii="Times New Roman" w:hAnsi="Times New Roman" w:cs="Times New Roman"/>
          <w:b/>
          <w:sz w:val="24"/>
          <w:szCs w:val="24"/>
        </w:rPr>
        <w:t>Библиографический список</w:t>
      </w:r>
    </w:p>
    <w:p w14:paraId="2750330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i/>
          <w:sz w:val="24"/>
          <w:szCs w:val="24"/>
        </w:rPr>
        <w:t>1. Алёхина С. А.</w:t>
      </w:r>
      <w:r>
        <w:rPr>
          <w:rFonts w:ascii="Times New Roman" w:hAnsi="Times New Roman" w:cs="Times New Roman"/>
          <w:sz w:val="24"/>
          <w:szCs w:val="24"/>
        </w:rPr>
        <w:t xml:space="preserve"> О немотивированном решении в гражданском судопроизводстве. //  Законы России: опыт, анализ, практика. – 2016. – № 4. – С. 86–90.</w:t>
      </w:r>
    </w:p>
    <w:p w14:paraId="4AC1DA5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i/>
          <w:sz w:val="24"/>
          <w:szCs w:val="24"/>
        </w:rPr>
        <w:t>2. Николайченко О. В.</w:t>
      </w:r>
      <w:r>
        <w:rPr>
          <w:rFonts w:ascii="Times New Roman" w:hAnsi="Times New Roman" w:cs="Times New Roman"/>
          <w:sz w:val="24"/>
          <w:szCs w:val="24"/>
        </w:rPr>
        <w:t xml:space="preserve"> О значении мотивировочной части судебного решения // Вопросы современной юриспруденции: сб. ст. по матер. IX междунар. науч.-практ. конф. – Новосибирск: СибАК.  – 2012. – С. 30–35.</w:t>
      </w:r>
    </w:p>
    <w:p w14:paraId="09E3580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i/>
          <w:sz w:val="24"/>
          <w:szCs w:val="24"/>
        </w:rPr>
        <w:t>3. Султанов А. Р.</w:t>
      </w:r>
      <w:r>
        <w:rPr>
          <w:rFonts w:ascii="Times New Roman" w:hAnsi="Times New Roman" w:cs="Times New Roman"/>
          <w:sz w:val="24"/>
          <w:szCs w:val="24"/>
        </w:rPr>
        <w:t xml:space="preserve"> </w:t>
      </w:r>
      <w:r>
        <w:rPr>
          <w:rFonts w:ascii="Times New Roman" w:hAnsi="Times New Roman" w:cs="Times New Roman"/>
          <w:sz w:val="24"/>
          <w:szCs w:val="24"/>
          <w:shd w:val="clear" w:color="auto" w:fill="FFFFFF"/>
        </w:rPr>
        <w:t>Мотивированность судебного акта как одна из основных проблем справедливого правосудия</w:t>
      </w:r>
      <w:r>
        <w:rPr>
          <w:rFonts w:ascii="Times New Roman" w:hAnsi="Times New Roman" w:cs="Times New Roman"/>
          <w:sz w:val="24"/>
          <w:szCs w:val="24"/>
        </w:rPr>
        <w:t xml:space="preserve"> // Закон. – 2014. – № 8. – С. 114–118. </w:t>
      </w:r>
    </w:p>
    <w:p w14:paraId="71B43B5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i/>
          <w:sz w:val="24"/>
          <w:szCs w:val="24"/>
        </w:rPr>
        <w:t>4. Трубников П. Я.</w:t>
      </w:r>
      <w:r>
        <w:rPr>
          <w:rFonts w:ascii="Times New Roman" w:hAnsi="Times New Roman" w:cs="Times New Roman"/>
          <w:sz w:val="24"/>
          <w:szCs w:val="24"/>
        </w:rPr>
        <w:t xml:space="preserve">  Условия эффективности судебного решения // Советское государство и право. – 1976. – № 2. – С. 51–59.</w:t>
      </w:r>
    </w:p>
    <w:p w14:paraId="2A5540B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sectPr w:rsidR="001B6C3B">
          <w:footnotePr>
            <w:numRestart w:val="eachPage"/>
          </w:footnotePr>
          <w:pgSz w:w="11906" w:h="16838"/>
          <w:pgMar w:top="1134" w:right="1134" w:bottom="1134" w:left="1134" w:header="708" w:footer="708" w:gutter="0"/>
          <w:cols w:space="720"/>
        </w:sectPr>
      </w:pPr>
    </w:p>
    <w:p w14:paraId="239F6FE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253"/>
        <w:jc w:val="both"/>
        <w:rPr>
          <w:rFonts w:ascii="Times New Roman" w:hAnsi="Times New Roman" w:cs="Times New Roman"/>
          <w:b/>
          <w:sz w:val="24"/>
          <w:szCs w:val="24"/>
        </w:rPr>
      </w:pPr>
      <w:r>
        <w:rPr>
          <w:rFonts w:ascii="Times New Roman" w:hAnsi="Times New Roman" w:cs="Times New Roman"/>
          <w:b/>
          <w:sz w:val="24"/>
          <w:szCs w:val="24"/>
        </w:rPr>
        <w:lastRenderedPageBreak/>
        <w:t>УДК 347.25</w:t>
      </w:r>
    </w:p>
    <w:p w14:paraId="36942A0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253"/>
        <w:contextualSpacing/>
        <w:jc w:val="both"/>
        <w:rPr>
          <w:rFonts w:ascii="Times New Roman" w:hAnsi="Times New Roman" w:cs="Times New Roman"/>
          <w:sz w:val="24"/>
          <w:szCs w:val="24"/>
        </w:rPr>
      </w:pPr>
    </w:p>
    <w:p w14:paraId="6D1D7B8D" w14:textId="77777777" w:rsidR="001B6C3B" w:rsidRPr="0074411C"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253"/>
        <w:contextualSpacing/>
        <w:jc w:val="both"/>
        <w:rPr>
          <w:rFonts w:ascii="Times New Roman" w:hAnsi="Times New Roman" w:cs="Times New Roman"/>
          <w:b/>
          <w:sz w:val="24"/>
          <w:szCs w:val="24"/>
        </w:rPr>
      </w:pPr>
      <w:r w:rsidRPr="0074411C">
        <w:rPr>
          <w:rFonts w:ascii="Times New Roman" w:hAnsi="Times New Roman" w:cs="Times New Roman"/>
          <w:b/>
          <w:sz w:val="24"/>
          <w:szCs w:val="24"/>
        </w:rPr>
        <w:t>Сулейманов Элгюн Элшадович</w:t>
      </w:r>
    </w:p>
    <w:p w14:paraId="1F19B9B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253"/>
        <w:contextualSpacing/>
        <w:jc w:val="both"/>
        <w:rPr>
          <w:rFonts w:ascii="Times New Roman" w:hAnsi="Times New Roman" w:cs="Times New Roman"/>
          <w:sz w:val="24"/>
          <w:szCs w:val="24"/>
        </w:rPr>
      </w:pPr>
      <w:r>
        <w:rPr>
          <w:rFonts w:ascii="Times New Roman" w:hAnsi="Times New Roman" w:cs="Times New Roman"/>
          <w:sz w:val="24"/>
          <w:szCs w:val="24"/>
        </w:rPr>
        <w:t>Suleymanov Elgyun Elshadovich</w:t>
      </w:r>
    </w:p>
    <w:p w14:paraId="38F6BE7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253"/>
        <w:contextualSpacing/>
        <w:jc w:val="both"/>
        <w:rPr>
          <w:rFonts w:ascii="Times New Roman" w:hAnsi="Times New Roman" w:cs="Times New Roman"/>
          <w:sz w:val="24"/>
          <w:szCs w:val="24"/>
        </w:rPr>
      </w:pPr>
      <w:r>
        <w:rPr>
          <w:rFonts w:ascii="Times New Roman" w:hAnsi="Times New Roman" w:cs="Times New Roman"/>
          <w:sz w:val="24"/>
          <w:szCs w:val="24"/>
        </w:rPr>
        <w:t>магистрант Федеральное государственное бюджетное образовательное учреждение высшего образования«Кубанский государственный аграрный университет имени И.Т. Трубилина»</w:t>
      </w:r>
    </w:p>
    <w:p w14:paraId="6CF5569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253"/>
        <w:contextualSpacing/>
        <w:jc w:val="both"/>
        <w:rPr>
          <w:rFonts w:ascii="Times New Roman" w:hAnsi="Times New Roman" w:cs="Times New Roman"/>
          <w:sz w:val="24"/>
          <w:szCs w:val="24"/>
          <w:lang w:val="en-US"/>
        </w:rPr>
      </w:pPr>
      <w:r>
        <w:rPr>
          <w:rFonts w:ascii="Times New Roman" w:hAnsi="Times New Roman" w:cs="Times New Roman"/>
          <w:sz w:val="24"/>
          <w:szCs w:val="24"/>
          <w:lang w:val="en-US"/>
        </w:rPr>
        <w:t>Federal State Budgetary Educational Institution of Higher Education</w:t>
      </w:r>
    </w:p>
    <w:p w14:paraId="1B07884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253"/>
        <w:contextualSpacing/>
        <w:jc w:val="both"/>
        <w:rPr>
          <w:rFonts w:ascii="Times New Roman" w:hAnsi="Times New Roman" w:cs="Times New Roman"/>
          <w:sz w:val="24"/>
          <w:szCs w:val="24"/>
          <w:lang w:val="en-US"/>
        </w:rPr>
      </w:pPr>
      <w:r>
        <w:rPr>
          <w:rFonts w:ascii="Times New Roman" w:hAnsi="Times New Roman" w:cs="Times New Roman"/>
          <w:sz w:val="24"/>
          <w:szCs w:val="24"/>
          <w:lang w:val="en-US"/>
        </w:rPr>
        <w:t>«Kuban State Agrarian University named after I.T. Trubilin»</w:t>
      </w:r>
    </w:p>
    <w:p w14:paraId="0B0469F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253"/>
        <w:contextualSpacing/>
        <w:jc w:val="both"/>
        <w:rPr>
          <w:rFonts w:ascii="Times New Roman" w:hAnsi="Times New Roman" w:cs="Times New Roman"/>
          <w:sz w:val="24"/>
          <w:szCs w:val="24"/>
        </w:rPr>
      </w:pPr>
      <w:r>
        <w:rPr>
          <w:rFonts w:ascii="Times New Roman" w:hAnsi="Times New Roman" w:cs="Times New Roman"/>
          <w:sz w:val="24"/>
          <w:szCs w:val="24"/>
        </w:rPr>
        <w:t>Российская Федерация, г. Краснодар</w:t>
      </w:r>
    </w:p>
    <w:p w14:paraId="4361A52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253"/>
        <w:contextualSpacing/>
        <w:jc w:val="both"/>
        <w:rPr>
          <w:rFonts w:ascii="Times New Roman" w:hAnsi="Times New Roman" w:cs="Times New Roman"/>
          <w:sz w:val="24"/>
          <w:szCs w:val="24"/>
        </w:rPr>
      </w:pPr>
      <w:r>
        <w:rPr>
          <w:rFonts w:ascii="Times New Roman" w:hAnsi="Times New Roman" w:cs="Times New Roman"/>
          <w:sz w:val="24"/>
          <w:szCs w:val="24"/>
        </w:rPr>
        <w:t>Russian Federation, Krasnodar</w:t>
      </w:r>
    </w:p>
    <w:p w14:paraId="1408EDF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253"/>
        <w:contextualSpacing/>
        <w:jc w:val="both"/>
        <w:rPr>
          <w:rFonts w:ascii="Times New Roman" w:hAnsi="Times New Roman" w:cs="Times New Roman"/>
          <w:sz w:val="24"/>
          <w:szCs w:val="24"/>
        </w:rPr>
      </w:pPr>
      <w:r>
        <w:rPr>
          <w:rFonts w:ascii="Times New Roman" w:hAnsi="Times New Roman" w:cs="Times New Roman"/>
          <w:sz w:val="24"/>
          <w:szCs w:val="24"/>
          <w:lang w:val="en-US"/>
        </w:rPr>
        <w:t>carlogambinofamiglia</w:t>
      </w:r>
      <w:r>
        <w:rPr>
          <w:rFonts w:ascii="Times New Roman" w:hAnsi="Times New Roman" w:cs="Times New Roman"/>
          <w:sz w:val="24"/>
          <w:szCs w:val="24"/>
        </w:rPr>
        <w:t>@</w:t>
      </w:r>
      <w:r>
        <w:rPr>
          <w:rFonts w:ascii="Times New Roman" w:hAnsi="Times New Roman" w:cs="Times New Roman"/>
          <w:sz w:val="24"/>
          <w:szCs w:val="24"/>
          <w:lang w:val="en-US"/>
        </w:rPr>
        <w:t>mail</w:t>
      </w:r>
      <w:r>
        <w:rPr>
          <w:rFonts w:ascii="Times New Roman" w:hAnsi="Times New Roman" w:cs="Times New Roman"/>
          <w:sz w:val="24"/>
          <w:szCs w:val="24"/>
        </w:rPr>
        <w:t>.</w:t>
      </w:r>
      <w:r>
        <w:rPr>
          <w:rFonts w:ascii="Times New Roman" w:hAnsi="Times New Roman" w:cs="Times New Roman"/>
          <w:sz w:val="24"/>
          <w:szCs w:val="24"/>
          <w:lang w:val="en-US"/>
        </w:rPr>
        <w:t>ru</w:t>
      </w:r>
    </w:p>
    <w:p w14:paraId="359E8DD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253"/>
        <w:contextualSpacing/>
        <w:jc w:val="both"/>
        <w:rPr>
          <w:rFonts w:ascii="Times New Roman" w:hAnsi="Times New Roman" w:cs="Times New Roman"/>
          <w:sz w:val="24"/>
          <w:szCs w:val="24"/>
        </w:rPr>
      </w:pPr>
      <w:r>
        <w:rPr>
          <w:rFonts w:ascii="Times New Roman" w:hAnsi="Times New Roman" w:cs="Times New Roman"/>
          <w:sz w:val="24"/>
          <w:szCs w:val="24"/>
        </w:rPr>
        <w:t>Научный руководитель:</w:t>
      </w:r>
    </w:p>
    <w:p w14:paraId="1EB4AB9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253"/>
        <w:contextualSpacing/>
        <w:jc w:val="both"/>
        <w:rPr>
          <w:rFonts w:ascii="Times New Roman" w:hAnsi="Times New Roman" w:cs="Times New Roman"/>
          <w:sz w:val="24"/>
          <w:szCs w:val="24"/>
        </w:rPr>
      </w:pPr>
      <w:r>
        <w:rPr>
          <w:rFonts w:ascii="Times New Roman" w:hAnsi="Times New Roman" w:cs="Times New Roman"/>
          <w:sz w:val="24"/>
          <w:szCs w:val="24"/>
        </w:rPr>
        <w:t>Кудрявцева Лариса Владимировна, к.ю.н., доцент</w:t>
      </w:r>
    </w:p>
    <w:p w14:paraId="142810C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center"/>
        <w:rPr>
          <w:rFonts w:ascii="Times New Roman" w:hAnsi="Times New Roman" w:cs="Times New Roman"/>
          <w:b/>
          <w:sz w:val="24"/>
          <w:szCs w:val="24"/>
        </w:rPr>
      </w:pPr>
    </w:p>
    <w:p w14:paraId="6017A5D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center"/>
        <w:rPr>
          <w:rFonts w:ascii="Times New Roman" w:hAnsi="Times New Roman" w:cs="Times New Roman"/>
          <w:b/>
          <w:sz w:val="24"/>
          <w:szCs w:val="24"/>
        </w:rPr>
      </w:pPr>
      <w:r>
        <w:rPr>
          <w:rFonts w:ascii="Times New Roman" w:hAnsi="Times New Roman" w:cs="Times New Roman"/>
          <w:b/>
          <w:sz w:val="24"/>
          <w:szCs w:val="24"/>
        </w:rPr>
        <w:t>СЕМЕЙНО-ПРАВОВЫЕ СПОРЫ, СВЯЗАННЫЕ С РАЗДЕЛОМ</w:t>
      </w:r>
    </w:p>
    <w:p w14:paraId="0641E7E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center"/>
        <w:rPr>
          <w:rFonts w:ascii="Times New Roman" w:hAnsi="Times New Roman" w:cs="Times New Roman"/>
          <w:b/>
          <w:sz w:val="24"/>
          <w:szCs w:val="24"/>
          <w:lang w:val="en-US"/>
        </w:rPr>
      </w:pPr>
      <w:r>
        <w:rPr>
          <w:rFonts w:ascii="Times New Roman" w:hAnsi="Times New Roman" w:cs="Times New Roman"/>
          <w:b/>
          <w:sz w:val="24"/>
          <w:szCs w:val="24"/>
        </w:rPr>
        <w:t>ИМУЩЕСТВА</w:t>
      </w:r>
      <w:r>
        <w:rPr>
          <w:rFonts w:ascii="Times New Roman" w:hAnsi="Times New Roman" w:cs="Times New Roman"/>
          <w:b/>
          <w:sz w:val="24"/>
          <w:szCs w:val="24"/>
          <w:lang w:val="en-US"/>
        </w:rPr>
        <w:t xml:space="preserve"> </w:t>
      </w:r>
      <w:r>
        <w:rPr>
          <w:rFonts w:ascii="Times New Roman" w:hAnsi="Times New Roman" w:cs="Times New Roman"/>
          <w:b/>
          <w:sz w:val="24"/>
          <w:szCs w:val="24"/>
        </w:rPr>
        <w:t>СУПРУГОВ</w:t>
      </w:r>
    </w:p>
    <w:p w14:paraId="296A1E4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center"/>
        <w:rPr>
          <w:rFonts w:ascii="Times New Roman" w:hAnsi="Times New Roman" w:cs="Times New Roman"/>
          <w:b/>
          <w:sz w:val="24"/>
          <w:szCs w:val="24"/>
          <w:lang w:val="en-US"/>
        </w:rPr>
      </w:pPr>
    </w:p>
    <w:p w14:paraId="6718345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center"/>
        <w:rPr>
          <w:rFonts w:ascii="Times New Roman" w:hAnsi="Times New Roman" w:cs="Times New Roman"/>
          <w:b/>
          <w:sz w:val="24"/>
          <w:szCs w:val="24"/>
          <w:lang w:val="en-US"/>
        </w:rPr>
      </w:pPr>
      <w:r>
        <w:rPr>
          <w:rFonts w:ascii="Times New Roman" w:hAnsi="Times New Roman" w:cs="Times New Roman"/>
          <w:b/>
          <w:sz w:val="24"/>
          <w:szCs w:val="24"/>
          <w:lang w:val="en-US"/>
        </w:rPr>
        <w:t>FAMILY LEGAL DISPUTES RELATED TO SECTION</w:t>
      </w:r>
    </w:p>
    <w:p w14:paraId="269D412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center"/>
        <w:rPr>
          <w:rFonts w:ascii="Times New Roman" w:hAnsi="Times New Roman" w:cs="Times New Roman"/>
          <w:b/>
          <w:sz w:val="24"/>
          <w:szCs w:val="24"/>
        </w:rPr>
      </w:pPr>
      <w:r>
        <w:rPr>
          <w:rFonts w:ascii="Times New Roman" w:hAnsi="Times New Roman" w:cs="Times New Roman"/>
          <w:b/>
          <w:sz w:val="24"/>
          <w:szCs w:val="24"/>
        </w:rPr>
        <w:t>SPOUGH PROPERTY</w:t>
      </w:r>
    </w:p>
    <w:p w14:paraId="79D8600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p>
    <w:p w14:paraId="7CEA0DD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i/>
          <w:sz w:val="24"/>
          <w:szCs w:val="24"/>
        </w:rPr>
        <w:t>Аннотация</w:t>
      </w:r>
      <w:r>
        <w:rPr>
          <w:rFonts w:ascii="Times New Roman" w:hAnsi="Times New Roman" w:cs="Times New Roman"/>
          <w:sz w:val="24"/>
          <w:szCs w:val="24"/>
        </w:rPr>
        <w:t>: В статье рассматриваются актуальные проблемы семейного и гражданского права, связанные с процедурой раздела общего имущества супругов при наступлении спорной ситуации. Выводы складываются на основании судебных решений, вынесенных по спорам, связанных с разделом общего имущества супругов.</w:t>
      </w:r>
    </w:p>
    <w:p w14:paraId="3A20FA3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i/>
          <w:sz w:val="24"/>
          <w:szCs w:val="24"/>
        </w:rPr>
        <w:t>Ключевые слова</w:t>
      </w:r>
      <w:r>
        <w:rPr>
          <w:rFonts w:ascii="Times New Roman" w:hAnsi="Times New Roman" w:cs="Times New Roman"/>
          <w:sz w:val="24"/>
          <w:szCs w:val="24"/>
        </w:rPr>
        <w:t>: общее имущество супругов; соглашение супругов; совместно нажитое имущество; брачный договор; равные доли; совместно нажитое обязательство.</w:t>
      </w:r>
    </w:p>
    <w:p w14:paraId="1E2B1FF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lang w:val="en-US"/>
        </w:rPr>
      </w:pPr>
      <w:r>
        <w:rPr>
          <w:rFonts w:ascii="Times New Roman" w:hAnsi="Times New Roman" w:cs="Times New Roman"/>
          <w:i/>
          <w:sz w:val="24"/>
          <w:szCs w:val="24"/>
          <w:lang w:val="en-US"/>
        </w:rPr>
        <w:t>Annotation</w:t>
      </w:r>
      <w:r>
        <w:rPr>
          <w:rFonts w:ascii="Times New Roman" w:hAnsi="Times New Roman" w:cs="Times New Roman"/>
          <w:sz w:val="24"/>
          <w:szCs w:val="24"/>
          <w:lang w:val="en-US"/>
        </w:rPr>
        <w:t>: The article discusses the current problems of family and civil law related to the procedure for dividing the common property of spouses in the event of a contentious situation. Conclusions are drawn up on the basis of court decisions made in disputes related to the division of the common property of the spouses.</w:t>
      </w:r>
    </w:p>
    <w:p w14:paraId="77760B5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lang w:val="en-US"/>
        </w:rPr>
      </w:pPr>
      <w:r>
        <w:rPr>
          <w:rFonts w:ascii="Times New Roman" w:hAnsi="Times New Roman" w:cs="Times New Roman"/>
          <w:i/>
          <w:sz w:val="24"/>
          <w:szCs w:val="24"/>
          <w:lang w:val="en-US"/>
        </w:rPr>
        <w:t>Keywords</w:t>
      </w:r>
      <w:r>
        <w:rPr>
          <w:rFonts w:ascii="Times New Roman" w:hAnsi="Times New Roman" w:cs="Times New Roman"/>
          <w:sz w:val="24"/>
          <w:szCs w:val="24"/>
          <w:lang w:val="en-US"/>
        </w:rPr>
        <w:t>: common property of spouses; agreement of spouses; jointly acquired property; marriage contract; equal shares; joint commitment.</w:t>
      </w:r>
    </w:p>
    <w:p w14:paraId="069ED75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lang w:val="en-US"/>
        </w:rPr>
      </w:pPr>
    </w:p>
    <w:p w14:paraId="16B6DA8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Раздел общего имущества супругов – это прекращение права совместной собственности на нажитое во время брака имущество и возникновение в результате раздела права собственности на указанное имущество каждого из супругов.</w:t>
      </w:r>
      <w:r>
        <w:rPr>
          <w:rStyle w:val="a7"/>
          <w:rFonts w:ascii="Times New Roman" w:hAnsi="Times New Roman" w:cs="Times New Roman"/>
          <w:sz w:val="24"/>
          <w:szCs w:val="24"/>
        </w:rPr>
        <w:footnoteReference w:id="351"/>
      </w:r>
    </w:p>
    <w:p w14:paraId="7FEA24F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Разделу общего имущества супругов посвящена ст.38 СК РФ, в которой сказано, что раздел может быть произведен как в период брака, так и после его расторжения по требованию любого из супругов. А также - в случае заявления кредитором требования о разделе общего имущества супругов для обращения взыскания на долю одного из супругов в общем имуществе супругов. Из этого положения мы приходим к выводу, что расторжение брака не является обязательным условием для процедуры раздела общего имущества супругов.</w:t>
      </w:r>
    </w:p>
    <w:p w14:paraId="5497F85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 xml:space="preserve">При разделе имущества необходимо определить доли супругов в совместно нажитом имуществе. Совместно нажитым имуществом признаётся всё то имущество, которое было приобретено супругами с момента вступления в брак, помимо имущества, полученное одним из супругов в дар, в порядке наследования или по иным безвозмездным сделкам. Имущество, </w:t>
      </w:r>
      <w:r>
        <w:rPr>
          <w:rFonts w:ascii="Times New Roman" w:hAnsi="Times New Roman" w:cs="Times New Roman"/>
          <w:sz w:val="24"/>
          <w:szCs w:val="24"/>
        </w:rPr>
        <w:lastRenderedPageBreak/>
        <w:t xml:space="preserve">подпадающее под данный перечень, признаётся собственностью соответствующего супруга. Определению долей при разделе общего имущества посвящена ст.39 СК РФ, где сказано, что доли при разделе признаются равными, если иное не предусмотрено договором между супругами. Это значит, что договорные отношения, которые складываются между супругами посредством заключения брачного договора, имеют значительное влияние на семейно-правовые отношения. </w:t>
      </w:r>
    </w:p>
    <w:p w14:paraId="651FADE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 xml:space="preserve">К договору, точнее соглашению, могут прийти супруги во время процедуры раздела общего имущества. В данном вопросе разрешение возможно без установления договорных отношений до вступления или во время вступления в брак. Согласно ст.38 СК РФ, соглашение между супругами должно быть нотариально удостоверено. </w:t>
      </w:r>
    </w:p>
    <w:p w14:paraId="0B60220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Невозможность заключения соглашения раздела общего имущества между супругами предусматривает образование спорной ситуации, которая разрешается судом.</w:t>
      </w:r>
    </w:p>
    <w:p w14:paraId="02066AF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Споры, связанные с разделом имущества супругов - распространенные примеры в судебной практике.</w:t>
      </w:r>
      <w:r>
        <w:rPr>
          <w:rStyle w:val="a7"/>
          <w:rFonts w:ascii="Times New Roman" w:hAnsi="Times New Roman" w:cs="Times New Roman"/>
          <w:sz w:val="24"/>
          <w:szCs w:val="24"/>
        </w:rPr>
        <w:footnoteReference w:id="352"/>
      </w:r>
      <w:r>
        <w:rPr>
          <w:rFonts w:ascii="Times New Roman" w:hAnsi="Times New Roman" w:cs="Times New Roman"/>
          <w:sz w:val="24"/>
          <w:szCs w:val="24"/>
        </w:rPr>
        <w:t xml:space="preserve"> Согласно ст. 38 СК РФ при наступлении подобных споров разрешение производятся в судебном порядке. Данные споры следует рассмотреть на примерах судебной практики. </w:t>
      </w:r>
    </w:p>
    <w:p w14:paraId="4B4177D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В решении Кировского районного суда г. Новосибирска от 27 сентября 2019 года установлено, истица Третьякова Ю.В. обратилась в суд с требованием о разделе совместно нажитого имущества.</w:t>
      </w:r>
      <w:r>
        <w:rPr>
          <w:rStyle w:val="a7"/>
          <w:rFonts w:ascii="Times New Roman" w:hAnsi="Times New Roman" w:cs="Times New Roman"/>
          <w:sz w:val="24"/>
          <w:szCs w:val="24"/>
        </w:rPr>
        <w:footnoteReference w:id="353"/>
      </w:r>
      <w:r>
        <w:rPr>
          <w:rFonts w:ascii="Times New Roman" w:hAnsi="Times New Roman" w:cs="Times New Roman"/>
          <w:sz w:val="24"/>
          <w:szCs w:val="24"/>
        </w:rPr>
        <w:t xml:space="preserve"> Раздел ранее не производился, соглашение о разделе не достигнуто, брачный договор не заключался. Истица обосновывает иск решением мирового судьи о расторжении брака. Также известно, что квартира, на которую претендует Третьякова, была приобретена в период брака и по взаимной договоренности оформлена на ответчика.</w:t>
      </w:r>
    </w:p>
    <w:p w14:paraId="299E65B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 xml:space="preserve">Разрешая дело, суд руководствовался ст. 34 СК РФ, в соответствии с которым имущество, нажитое супругами во время брака, является их совместной собственностью. </w:t>
      </w:r>
    </w:p>
    <w:p w14:paraId="3CB117B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Также суд приводит положения пункта 15 Постановления Пленума Верховного Суда РФ N 15  «О применении судами законодательства при рассмотрении дел о расторжении брака». Исходя из положения, складывается вывод, что квартира, являясь недвижимой вещью, признаётся общим имуществом независимо от того, на имя кого из супругов оно приобретено либо на имя кого или кем из супругов внесены денежные средства.</w:t>
      </w:r>
    </w:p>
    <w:p w14:paraId="70E69E9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 xml:space="preserve">Суд удовлетворят исковые требования Третьяковой Ю.В. и признаёт квартиру, на которую претендует истица, совместно нажитым имуществом. </w:t>
      </w:r>
    </w:p>
    <w:p w14:paraId="5A5EF70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 xml:space="preserve">Вышеуказанное дело – частый пример судебной практики, когда одна из сторон, юридически владея имуществом, уверенна в том, что имущество является его личной собственностью. Возможно, поэтому вопрос о соглашении раздела имущества ответчиком не рассматривался. </w:t>
      </w:r>
    </w:p>
    <w:p w14:paraId="083777E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Следующий пример из судебной практики иллюстрирует совсем иную ситуацию. В решении Рузского районного суда Московской области от 26 сентября 2019 года установлено, что истец Лукьянов А.А. просит суд расторгнуть брак, заключенный с ответчицей Симоненко А.С., а также признать доли супругов в совместно нажитом имуществе равными.</w:t>
      </w:r>
      <w:r>
        <w:rPr>
          <w:rStyle w:val="a7"/>
          <w:rFonts w:ascii="Times New Roman" w:hAnsi="Times New Roman" w:cs="Times New Roman"/>
          <w:sz w:val="24"/>
          <w:szCs w:val="24"/>
        </w:rPr>
        <w:footnoteReference w:id="354"/>
      </w:r>
      <w:r>
        <w:rPr>
          <w:rFonts w:ascii="Times New Roman" w:hAnsi="Times New Roman" w:cs="Times New Roman"/>
          <w:sz w:val="24"/>
          <w:szCs w:val="24"/>
        </w:rPr>
        <w:t xml:space="preserve"> Далее перечисляется перечень движимых вещей, которые равным образом делятся между супругами, следом Лукьянов просит признания за ним доли земельного участка, доли жилого дома и доли бани. </w:t>
      </w:r>
    </w:p>
    <w:p w14:paraId="52FE85E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 xml:space="preserve">В свою очередь ответчица заявляет встречный иск, в котором дублирует требования истца, помимо последней части. Перечень недвижимого имущества просит признать за собой. Мотивирует она свою просьбу тем, что земельный участок, жилой дом и баня не являются </w:t>
      </w:r>
      <w:r>
        <w:rPr>
          <w:rFonts w:ascii="Times New Roman" w:hAnsi="Times New Roman" w:cs="Times New Roman"/>
          <w:sz w:val="24"/>
          <w:szCs w:val="24"/>
        </w:rPr>
        <w:lastRenderedPageBreak/>
        <w:t xml:space="preserve">совместно нажитым имуществом. Денежные средства на приобретение вышеуказанного имущества подарены ей свекром Лукьяновым А.А., все доказательства предоставлены. </w:t>
      </w:r>
    </w:p>
    <w:p w14:paraId="0964756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Разрешая дело, суд удостоверился, что стороны не пришли к соглашению по разделу общего имущества. В иске истцом была указана стоимость всех движимых и недвижимых вещей. Согласно п.15 Постановления Пленума Верховного Суда РФ от 05.11.1998 г. №15 «О применении судами законодательства при рассмотрении дел о расторжении брака», стоимость имущества, подлежащего разделу, определяется на время рассмотрения дела.</w:t>
      </w:r>
      <w:r>
        <w:rPr>
          <w:rStyle w:val="a7"/>
          <w:rFonts w:ascii="Times New Roman" w:hAnsi="Times New Roman" w:cs="Times New Roman"/>
          <w:sz w:val="24"/>
          <w:szCs w:val="24"/>
        </w:rPr>
        <w:footnoteReference w:id="355"/>
      </w:r>
    </w:p>
    <w:p w14:paraId="6DF8622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 xml:space="preserve"> Для определения долей в имуществе суд руководствовался п.1 ст. 36 СК РФ, согласно которому имущество, полученное одним из супругов во время брака в дар, является его собственностью. </w:t>
      </w:r>
    </w:p>
    <w:p w14:paraId="6CDB6B4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Поэтому суд частично удовлетворил требования Лукьянова А.А., закрепив за ним перечень движимых вещей, на которые истец претендовал. А земельный участок, жилой дом и баня остались во владении Симоненко А.С.</w:t>
      </w:r>
    </w:p>
    <w:p w14:paraId="38AF8AA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Судебной практике известны дела, в которых разделу между супругами подлежали обязательства. Так, Новошешминский районный суд республики Татарстан в решении от 26 сентября 2019 года установил, что истец Филиппов С.Н. обратился в суд с иском, связанным с разделом имущества, мотивируя иск тем, что между ним и Филипповой И.В.  был заключен брак и фактические брачные отношения продолжались по апрель 2015 года.</w:t>
      </w:r>
      <w:r>
        <w:rPr>
          <w:rStyle w:val="a7"/>
          <w:rFonts w:ascii="Times New Roman" w:hAnsi="Times New Roman" w:cs="Times New Roman"/>
          <w:sz w:val="24"/>
          <w:szCs w:val="24"/>
        </w:rPr>
        <w:footnoteReference w:id="356"/>
      </w:r>
      <w:r>
        <w:rPr>
          <w:rFonts w:ascii="Times New Roman" w:hAnsi="Times New Roman" w:cs="Times New Roman"/>
          <w:sz w:val="24"/>
          <w:szCs w:val="24"/>
        </w:rPr>
        <w:t xml:space="preserve"> Спустя время брак официально расторгнут.  </w:t>
      </w:r>
    </w:p>
    <w:p w14:paraId="4166753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 xml:space="preserve">В период брака супругами приобретено имущество, на которое были начислены налоги. А также получен кредит в банке. После прекращения брачных отношений и расторжения брака истцом были уплачены налоги на совместно нажитое имущество и полностью выплачена задолженность по кредиту. </w:t>
      </w:r>
    </w:p>
    <w:p w14:paraId="12AABAC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 xml:space="preserve">Ранее, вступило в силу решение Новошешминского суда, в котором были признаны совместно нажитым имуществом и разделены на равные доли между Филипповым и Филипповой: жилой дом, земельный участок с разрешенным использованием «для ведения личного подсобного хозяйства», магазин, земельный участок с разрешенным использованием «для размещения объекта торговли» и три автомобиля. </w:t>
      </w:r>
    </w:p>
    <w:p w14:paraId="3ACD612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 xml:space="preserve">Кроме того, совместно нажитым обязательством супругов были признаны задолженности по  трем кредитным договорам и договору о предоставлении и обслуживании карты, заключенные между Филипповой и банками. </w:t>
      </w:r>
    </w:p>
    <w:p w14:paraId="7414F9B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Помимо этого, супругами был взят кредит в размере 150 тысяч, из которых 125 852 рубля были уплачены истцом в счёт погашения одного из кредитов, заключенных ответчицей. Последний кредит был взят на имя истца. Общая сумма кредита с учётом страховой премии и процентов составила 288 950 рублей. В период брака и совместного проживания было совершено 12 ежемесячных платежей в суме 72 039 рублей. Оставшиеся 216 911 рублей уплачены истцом после прекращения фактических брачных отношений.</w:t>
      </w:r>
    </w:p>
    <w:p w14:paraId="63BCFEE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 xml:space="preserve">Кроме того, на автомобили, которые установлены судом, как совместно нажитое имущество, ежегодно начислялись налоги. Налоги начислялись до тех пор, пока автомобили не были проданы в июле и декабре 2015 года. Таким образом, транспортный налог с 2016 года не начислялся. Транспортный налог и пени за его несвоевременную оплату были оплачены истцом уже после расторжения брака. </w:t>
      </w:r>
    </w:p>
    <w:p w14:paraId="648BD5E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 xml:space="preserve">В решении 2017 года о разделе совместно нажитого имущества между Филипповым и Филипповой долги по кредитам и налогам не были включены в исковые требования и не были разделены. </w:t>
      </w:r>
    </w:p>
    <w:p w14:paraId="6399238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 xml:space="preserve">Ответчица признала иск в части, признав обоснованность требования о кредитном обязательстве. Требования о транспортном налоге и последующих пени Филиппова не </w:t>
      </w:r>
      <w:r>
        <w:rPr>
          <w:rFonts w:ascii="Times New Roman" w:hAnsi="Times New Roman" w:cs="Times New Roman"/>
          <w:sz w:val="24"/>
          <w:szCs w:val="24"/>
        </w:rPr>
        <w:lastRenderedPageBreak/>
        <w:t>признаёт, ссылаясь на то, что автомобилями пользовался истец, и начисления пени произошли по его вине.</w:t>
      </w:r>
    </w:p>
    <w:p w14:paraId="04F3F4F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 xml:space="preserve">Суд, руководствуясь статьями гражданского процессуального кодекса, гражданского кодекса и семейного кодекса, решил исковые требования Филиппова к Филипповой удовлетворить частично. </w:t>
      </w:r>
    </w:p>
    <w:p w14:paraId="1E0A61A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Суд признал кредит, заключенный истцом для погашения кредита ответчицы, совместно нажитым обязательством, и потребовал взыскать с Филипповой в пользу Филиппова расходы по оплате кредитного договора в размере 1\2 доли от общей суммы.</w:t>
      </w:r>
    </w:p>
    <w:p w14:paraId="0F522CE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Также, суд признал долговые обязательства по транспортному налогу на автомобили совместно нажитым обязательством и потребовал взыскать с ответчицы в пользу ответчика 1\2 доли от общей суммы.</w:t>
      </w:r>
    </w:p>
    <w:p w14:paraId="5E91417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 xml:space="preserve">В признании долгового обязательства по пени на транспортный налог на автомобили супругов – судом отказано. </w:t>
      </w:r>
    </w:p>
    <w:p w14:paraId="0589E1E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 xml:space="preserve">Судебное дело между Филипповыми показывает ясную картину негативных последствий при прекращении семейно-правовых отношений. Помимо желанного раздела общего  имущества, за каждую деталь которого супруги готовы бороться до последнего пота, существует такая неприятная процедура раздела совместно нажитого обязательства. В данном случае, желание супругов сводится к уменьшению личной роли в ответе по обязательствам. </w:t>
      </w:r>
    </w:p>
    <w:p w14:paraId="15AD1D9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Исходя из анализа вышеуказанных судебных решений, мы приходим к выводу, что невозможность соглашения супругов по разделу общего имущества обусловлено желанием выгоды. Стороны уверены в своих правах больше, чем это бывает на самом деле. И дело состоит не только в не знании закона, но и в возможности наживы, имея права на меньшую долю – получить большую. Подобные желания были, есть и будут естественными пороками человека, поэтому споры, связанные с разделом имущества супругов будут всегда актуальны.</w:t>
      </w:r>
    </w:p>
    <w:p w14:paraId="2D53D65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p>
    <w:p w14:paraId="04525D7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b/>
          <w:sz w:val="24"/>
          <w:szCs w:val="24"/>
        </w:rPr>
      </w:pPr>
      <w:r>
        <w:rPr>
          <w:rFonts w:ascii="Times New Roman" w:hAnsi="Times New Roman" w:cs="Times New Roman"/>
          <w:b/>
          <w:sz w:val="24"/>
          <w:szCs w:val="24"/>
        </w:rPr>
        <w:t>Библиографический список</w:t>
      </w:r>
    </w:p>
    <w:p w14:paraId="66D9396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lang w:val="en-US"/>
        </w:rPr>
      </w:pPr>
      <w:r>
        <w:rPr>
          <w:rFonts w:ascii="Times New Roman" w:hAnsi="Times New Roman" w:cs="Times New Roman"/>
          <w:sz w:val="24"/>
          <w:szCs w:val="24"/>
        </w:rPr>
        <w:t>1. Антокольская М. В. Семейное право: Учебник. 2-е изд., перераб. и доп. М</w:t>
      </w:r>
      <w:r>
        <w:rPr>
          <w:rFonts w:ascii="Times New Roman" w:hAnsi="Times New Roman" w:cs="Times New Roman"/>
          <w:sz w:val="24"/>
          <w:szCs w:val="24"/>
          <w:lang w:val="en-US"/>
        </w:rPr>
        <w:t xml:space="preserve">.: </w:t>
      </w:r>
      <w:r>
        <w:rPr>
          <w:rFonts w:ascii="Times New Roman" w:hAnsi="Times New Roman" w:cs="Times New Roman"/>
          <w:sz w:val="24"/>
          <w:szCs w:val="24"/>
        </w:rPr>
        <w:t>Юристъ</w:t>
      </w:r>
      <w:r>
        <w:rPr>
          <w:rFonts w:ascii="Times New Roman" w:hAnsi="Times New Roman" w:cs="Times New Roman"/>
          <w:sz w:val="24"/>
          <w:szCs w:val="24"/>
          <w:lang w:val="en-US"/>
        </w:rPr>
        <w:t xml:space="preserve">, 2000. – 336 </w:t>
      </w:r>
      <w:r>
        <w:rPr>
          <w:rFonts w:ascii="Times New Roman" w:hAnsi="Times New Roman" w:cs="Times New Roman"/>
          <w:sz w:val="24"/>
          <w:szCs w:val="24"/>
        </w:rPr>
        <w:t>с</w:t>
      </w:r>
      <w:r>
        <w:rPr>
          <w:rFonts w:ascii="Times New Roman" w:hAnsi="Times New Roman" w:cs="Times New Roman"/>
          <w:sz w:val="24"/>
          <w:szCs w:val="24"/>
          <w:lang w:val="en-US"/>
        </w:rPr>
        <w:t xml:space="preserve">. </w:t>
      </w:r>
    </w:p>
    <w:p w14:paraId="367B4E8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lang w:val="en-US"/>
        </w:rPr>
        <w:t xml:space="preserve">2. Kudryavtseva L., Kolesnikova V., Miroshnichenko O. Alimony obligations of parents and children in international private law // </w:t>
      </w:r>
      <w:r>
        <w:rPr>
          <w:rFonts w:ascii="Times New Roman" w:hAnsi="Times New Roman" w:cs="Times New Roman"/>
          <w:sz w:val="24"/>
          <w:szCs w:val="24"/>
        </w:rPr>
        <w:t>Актуальные</w:t>
      </w:r>
      <w:r>
        <w:rPr>
          <w:rFonts w:ascii="Times New Roman" w:hAnsi="Times New Roman" w:cs="Times New Roman"/>
          <w:sz w:val="24"/>
          <w:szCs w:val="24"/>
          <w:lang w:val="en-US"/>
        </w:rPr>
        <w:t xml:space="preserve"> </w:t>
      </w:r>
      <w:r>
        <w:rPr>
          <w:rFonts w:ascii="Times New Roman" w:hAnsi="Times New Roman" w:cs="Times New Roman"/>
          <w:sz w:val="24"/>
          <w:szCs w:val="24"/>
        </w:rPr>
        <w:t>проблемы</w:t>
      </w:r>
      <w:r>
        <w:rPr>
          <w:rFonts w:ascii="Times New Roman" w:hAnsi="Times New Roman" w:cs="Times New Roman"/>
          <w:sz w:val="24"/>
          <w:szCs w:val="24"/>
          <w:lang w:val="en-US"/>
        </w:rPr>
        <w:t xml:space="preserve"> </w:t>
      </w:r>
      <w:r>
        <w:rPr>
          <w:rFonts w:ascii="Times New Roman" w:hAnsi="Times New Roman" w:cs="Times New Roman"/>
          <w:sz w:val="24"/>
          <w:szCs w:val="24"/>
        </w:rPr>
        <w:t>современности</w:t>
      </w:r>
      <w:r>
        <w:rPr>
          <w:rFonts w:ascii="Times New Roman" w:hAnsi="Times New Roman" w:cs="Times New Roman"/>
          <w:sz w:val="24"/>
          <w:szCs w:val="24"/>
          <w:lang w:val="en-US"/>
        </w:rPr>
        <w:t xml:space="preserve">. </w:t>
      </w:r>
      <w:r>
        <w:rPr>
          <w:rFonts w:ascii="Times New Roman" w:hAnsi="Times New Roman" w:cs="Times New Roman"/>
          <w:sz w:val="24"/>
          <w:szCs w:val="24"/>
        </w:rPr>
        <w:t>2017. №4 (18).</w:t>
      </w:r>
    </w:p>
    <w:p w14:paraId="33814AE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 xml:space="preserve">3. Постановление Пленума Верховного Суда РФ от 05.11.98 </w:t>
      </w:r>
      <w:r>
        <w:rPr>
          <w:rFonts w:ascii="Times New Roman" w:hAnsi="Times New Roman" w:cs="Times New Roman"/>
          <w:sz w:val="24"/>
          <w:szCs w:val="24"/>
          <w:lang w:val="en-US"/>
        </w:rPr>
        <w:t>N</w:t>
      </w:r>
      <w:r>
        <w:rPr>
          <w:rFonts w:ascii="Times New Roman" w:hAnsi="Times New Roman" w:cs="Times New Roman"/>
          <w:sz w:val="24"/>
          <w:szCs w:val="24"/>
        </w:rPr>
        <w:t xml:space="preserve"> 15 «О применении судами законодательства при рассмотрении дел о расторжении брака» // </w:t>
      </w:r>
      <w:r>
        <w:rPr>
          <w:rFonts w:ascii="Times New Roman" w:hAnsi="Times New Roman" w:cs="Times New Roman"/>
          <w:sz w:val="24"/>
          <w:szCs w:val="24"/>
          <w:lang w:val="en-US"/>
        </w:rPr>
        <w:t>https</w:t>
      </w:r>
      <w:r>
        <w:rPr>
          <w:rFonts w:ascii="Times New Roman" w:hAnsi="Times New Roman" w:cs="Times New Roman"/>
          <w:sz w:val="24"/>
          <w:szCs w:val="24"/>
        </w:rPr>
        <w:t>://</w:t>
      </w:r>
      <w:r>
        <w:rPr>
          <w:rFonts w:ascii="Times New Roman" w:hAnsi="Times New Roman" w:cs="Times New Roman"/>
          <w:sz w:val="24"/>
          <w:szCs w:val="24"/>
          <w:lang w:val="en-US"/>
        </w:rPr>
        <w:t>www</w:t>
      </w:r>
      <w:r>
        <w:rPr>
          <w:rFonts w:ascii="Times New Roman" w:hAnsi="Times New Roman" w:cs="Times New Roman"/>
          <w:sz w:val="24"/>
          <w:szCs w:val="24"/>
        </w:rPr>
        <w:t>.</w:t>
      </w:r>
      <w:r>
        <w:rPr>
          <w:rFonts w:ascii="Times New Roman" w:hAnsi="Times New Roman" w:cs="Times New Roman"/>
          <w:sz w:val="24"/>
          <w:szCs w:val="24"/>
          <w:lang w:val="en-US"/>
        </w:rPr>
        <w:t>garant</w:t>
      </w:r>
      <w:r>
        <w:rPr>
          <w:rFonts w:ascii="Times New Roman" w:hAnsi="Times New Roman" w:cs="Times New Roman"/>
          <w:sz w:val="24"/>
          <w:szCs w:val="24"/>
        </w:rPr>
        <w:t>.</w:t>
      </w:r>
      <w:r>
        <w:rPr>
          <w:rFonts w:ascii="Times New Roman" w:hAnsi="Times New Roman" w:cs="Times New Roman"/>
          <w:sz w:val="24"/>
          <w:szCs w:val="24"/>
          <w:lang w:val="en-US"/>
        </w:rPr>
        <w:t>ru</w:t>
      </w:r>
    </w:p>
    <w:p w14:paraId="0223EF1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 xml:space="preserve">4. Решение Рузского районного суда Московской области от 26.09.2019 по делу № 2-1800/2019 // Сайт Рузского районного суда Московской области. Режим доступа: </w:t>
      </w:r>
      <w:r>
        <w:rPr>
          <w:rFonts w:ascii="Times New Roman" w:hAnsi="Times New Roman" w:cs="Times New Roman"/>
          <w:sz w:val="24"/>
          <w:szCs w:val="24"/>
          <w:lang w:val="en-US"/>
        </w:rPr>
        <w:t>http</w:t>
      </w:r>
      <w:r>
        <w:rPr>
          <w:rFonts w:ascii="Times New Roman" w:hAnsi="Times New Roman" w:cs="Times New Roman"/>
          <w:sz w:val="24"/>
          <w:szCs w:val="24"/>
        </w:rPr>
        <w:t>://</w:t>
      </w:r>
      <w:r>
        <w:rPr>
          <w:rFonts w:ascii="Times New Roman" w:hAnsi="Times New Roman" w:cs="Times New Roman"/>
          <w:sz w:val="24"/>
          <w:szCs w:val="24"/>
          <w:lang w:val="en-US"/>
        </w:rPr>
        <w:t>ruza</w:t>
      </w:r>
      <w:r>
        <w:rPr>
          <w:rFonts w:ascii="Times New Roman" w:hAnsi="Times New Roman" w:cs="Times New Roman"/>
          <w:sz w:val="24"/>
          <w:szCs w:val="24"/>
        </w:rPr>
        <w:t>.</w:t>
      </w:r>
      <w:r>
        <w:rPr>
          <w:rFonts w:ascii="Times New Roman" w:hAnsi="Times New Roman" w:cs="Times New Roman"/>
          <w:sz w:val="24"/>
          <w:szCs w:val="24"/>
          <w:lang w:val="en-US"/>
        </w:rPr>
        <w:t>mo</w:t>
      </w:r>
      <w:r>
        <w:rPr>
          <w:rFonts w:ascii="Times New Roman" w:hAnsi="Times New Roman" w:cs="Times New Roman"/>
          <w:sz w:val="24"/>
          <w:szCs w:val="24"/>
        </w:rPr>
        <w:t>.</w:t>
      </w:r>
      <w:r>
        <w:rPr>
          <w:rFonts w:ascii="Times New Roman" w:hAnsi="Times New Roman" w:cs="Times New Roman"/>
          <w:sz w:val="24"/>
          <w:szCs w:val="24"/>
          <w:lang w:val="en-US"/>
        </w:rPr>
        <w:t>sudrf</w:t>
      </w:r>
      <w:r>
        <w:rPr>
          <w:rFonts w:ascii="Times New Roman" w:hAnsi="Times New Roman" w:cs="Times New Roman"/>
          <w:sz w:val="24"/>
          <w:szCs w:val="24"/>
        </w:rPr>
        <w:t>.</w:t>
      </w:r>
      <w:r>
        <w:rPr>
          <w:rFonts w:ascii="Times New Roman" w:hAnsi="Times New Roman" w:cs="Times New Roman"/>
          <w:sz w:val="24"/>
          <w:szCs w:val="24"/>
          <w:lang w:val="en-US"/>
        </w:rPr>
        <w:t>ru</w:t>
      </w:r>
      <w:r>
        <w:rPr>
          <w:rFonts w:ascii="Times New Roman" w:hAnsi="Times New Roman" w:cs="Times New Roman"/>
          <w:sz w:val="24"/>
          <w:szCs w:val="24"/>
        </w:rPr>
        <w:t>/</w:t>
      </w:r>
    </w:p>
    <w:p w14:paraId="3798176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 xml:space="preserve">5. Решение Кировского районного суда Новосибирска от 27.09.2019 по делу № 2-2586/2019 // Сайт Кировского районного суда Новосибирска. Режим доступа: </w:t>
      </w:r>
      <w:r>
        <w:rPr>
          <w:rFonts w:ascii="Times New Roman" w:hAnsi="Times New Roman" w:cs="Times New Roman"/>
          <w:sz w:val="24"/>
          <w:szCs w:val="24"/>
          <w:lang w:val="en-US"/>
        </w:rPr>
        <w:t>http</w:t>
      </w:r>
      <w:r>
        <w:rPr>
          <w:rFonts w:ascii="Times New Roman" w:hAnsi="Times New Roman" w:cs="Times New Roman"/>
          <w:sz w:val="24"/>
          <w:szCs w:val="24"/>
        </w:rPr>
        <w:t>://</w:t>
      </w:r>
      <w:r>
        <w:rPr>
          <w:rFonts w:ascii="Times New Roman" w:hAnsi="Times New Roman" w:cs="Times New Roman"/>
          <w:sz w:val="24"/>
          <w:szCs w:val="24"/>
          <w:lang w:val="en-US"/>
        </w:rPr>
        <w:t>kirovsky</w:t>
      </w:r>
      <w:r>
        <w:rPr>
          <w:rFonts w:ascii="Times New Roman" w:hAnsi="Times New Roman" w:cs="Times New Roman"/>
          <w:sz w:val="24"/>
          <w:szCs w:val="24"/>
        </w:rPr>
        <w:t>.</w:t>
      </w:r>
      <w:r>
        <w:rPr>
          <w:rFonts w:ascii="Times New Roman" w:hAnsi="Times New Roman" w:cs="Times New Roman"/>
          <w:sz w:val="24"/>
          <w:szCs w:val="24"/>
          <w:lang w:val="en-US"/>
        </w:rPr>
        <w:t>nsk</w:t>
      </w:r>
      <w:r>
        <w:rPr>
          <w:rFonts w:ascii="Times New Roman" w:hAnsi="Times New Roman" w:cs="Times New Roman"/>
          <w:sz w:val="24"/>
          <w:szCs w:val="24"/>
        </w:rPr>
        <w:t>.</w:t>
      </w:r>
      <w:r>
        <w:rPr>
          <w:rFonts w:ascii="Times New Roman" w:hAnsi="Times New Roman" w:cs="Times New Roman"/>
          <w:sz w:val="24"/>
          <w:szCs w:val="24"/>
          <w:lang w:val="en-US"/>
        </w:rPr>
        <w:t>sudrf</w:t>
      </w:r>
      <w:r>
        <w:rPr>
          <w:rFonts w:ascii="Times New Roman" w:hAnsi="Times New Roman" w:cs="Times New Roman"/>
          <w:sz w:val="24"/>
          <w:szCs w:val="24"/>
        </w:rPr>
        <w:t>.</w:t>
      </w:r>
      <w:r>
        <w:rPr>
          <w:rFonts w:ascii="Times New Roman" w:hAnsi="Times New Roman" w:cs="Times New Roman"/>
          <w:sz w:val="24"/>
          <w:szCs w:val="24"/>
          <w:lang w:val="en-US"/>
        </w:rPr>
        <w:t>ru</w:t>
      </w:r>
      <w:r>
        <w:rPr>
          <w:rFonts w:ascii="Times New Roman" w:hAnsi="Times New Roman" w:cs="Times New Roman"/>
          <w:sz w:val="24"/>
          <w:szCs w:val="24"/>
        </w:rPr>
        <w:t>/</w:t>
      </w:r>
    </w:p>
    <w:p w14:paraId="60C6A04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6. Решение Новошешминского районного суда республики Татарстан от 26.09.2019 по делу  № 2-165/2019 // Сайт Новошешминского районного суда республики Татарстан. Режим доступа: http://novosheshminsky.tat.sudrf.ru/</w:t>
      </w:r>
    </w:p>
    <w:p w14:paraId="3F00078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sectPr w:rsidR="001B6C3B">
          <w:footnotePr>
            <w:numRestart w:val="eachPage"/>
          </w:footnotePr>
          <w:pgSz w:w="11906" w:h="16838"/>
          <w:pgMar w:top="1134" w:right="1134" w:bottom="1134" w:left="1134" w:header="708" w:footer="708" w:gutter="0"/>
          <w:cols w:space="720"/>
        </w:sectPr>
      </w:pPr>
    </w:p>
    <w:p w14:paraId="751B7A15" w14:textId="77777777" w:rsidR="001B6C3B" w:rsidRDefault="001B6C3B" w:rsidP="001B6C3B">
      <w:pPr>
        <w:pStyle w:val="Defaul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820"/>
        <w:jc w:val="both"/>
        <w:rPr>
          <w:color w:val="auto"/>
        </w:rPr>
      </w:pPr>
      <w:r>
        <w:rPr>
          <w:color w:val="auto"/>
        </w:rPr>
        <w:lastRenderedPageBreak/>
        <w:t>УДК 347.121.2</w:t>
      </w:r>
    </w:p>
    <w:p w14:paraId="3A2769D2" w14:textId="77777777" w:rsidR="001B6C3B" w:rsidRPr="0074411C"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Fonts w:ascii="Times New Roman" w:hAnsi="Times New Roman" w:cs="Times New Roman"/>
          <w:b/>
          <w:sz w:val="24"/>
          <w:szCs w:val="24"/>
        </w:rPr>
      </w:pPr>
      <w:r w:rsidRPr="0074411C">
        <w:rPr>
          <w:rFonts w:ascii="Times New Roman" w:hAnsi="Times New Roman" w:cs="Times New Roman"/>
          <w:b/>
          <w:sz w:val="24"/>
          <w:szCs w:val="24"/>
        </w:rPr>
        <w:t>Тищенко Владислав Сергеевич</w:t>
      </w:r>
    </w:p>
    <w:p w14:paraId="1513703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Fonts w:ascii="Times New Roman" w:hAnsi="Times New Roman" w:cs="Times New Roman"/>
          <w:sz w:val="24"/>
          <w:szCs w:val="24"/>
        </w:rPr>
      </w:pPr>
      <w:r>
        <w:rPr>
          <w:rFonts w:ascii="Times New Roman" w:hAnsi="Times New Roman" w:cs="Times New Roman"/>
          <w:sz w:val="24"/>
          <w:szCs w:val="24"/>
          <w:lang w:val="en-US"/>
        </w:rPr>
        <w:t>Tishchenko</w:t>
      </w:r>
      <w:r w:rsidRPr="00430C1C">
        <w:rPr>
          <w:rFonts w:ascii="Times New Roman" w:hAnsi="Times New Roman" w:cs="Times New Roman"/>
          <w:sz w:val="24"/>
          <w:szCs w:val="24"/>
        </w:rPr>
        <w:t xml:space="preserve"> </w:t>
      </w:r>
      <w:r>
        <w:rPr>
          <w:rFonts w:ascii="Times New Roman" w:hAnsi="Times New Roman" w:cs="Times New Roman"/>
          <w:sz w:val="24"/>
          <w:szCs w:val="24"/>
          <w:lang w:val="en-US"/>
        </w:rPr>
        <w:t>Vladislav</w:t>
      </w:r>
      <w:r w:rsidRPr="00430C1C">
        <w:rPr>
          <w:rFonts w:ascii="Times New Roman" w:hAnsi="Times New Roman" w:cs="Times New Roman"/>
          <w:sz w:val="24"/>
          <w:szCs w:val="24"/>
        </w:rPr>
        <w:t xml:space="preserve"> </w:t>
      </w:r>
      <w:r>
        <w:rPr>
          <w:rFonts w:ascii="Times New Roman" w:hAnsi="Times New Roman" w:cs="Times New Roman"/>
          <w:sz w:val="24"/>
          <w:szCs w:val="24"/>
          <w:lang w:val="en-US"/>
        </w:rPr>
        <w:t>Sergeevich</w:t>
      </w:r>
    </w:p>
    <w:p w14:paraId="25C58A8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Fonts w:ascii="Times New Roman" w:hAnsi="Times New Roman" w:cs="Times New Roman"/>
          <w:sz w:val="24"/>
          <w:szCs w:val="24"/>
        </w:rPr>
      </w:pPr>
      <w:r>
        <w:rPr>
          <w:rFonts w:ascii="Times New Roman" w:hAnsi="Times New Roman" w:cs="Times New Roman"/>
          <w:sz w:val="24"/>
          <w:szCs w:val="24"/>
        </w:rPr>
        <w:t>бакалавр Федеральное государственное бюджетное</w:t>
      </w:r>
    </w:p>
    <w:p w14:paraId="266164D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Fonts w:ascii="Times New Roman" w:hAnsi="Times New Roman" w:cs="Times New Roman"/>
          <w:sz w:val="24"/>
          <w:szCs w:val="24"/>
        </w:rPr>
      </w:pPr>
      <w:r>
        <w:rPr>
          <w:rFonts w:ascii="Times New Roman" w:hAnsi="Times New Roman" w:cs="Times New Roman"/>
          <w:sz w:val="24"/>
          <w:szCs w:val="24"/>
        </w:rPr>
        <w:t>образовательное учреждение высшего образования</w:t>
      </w:r>
    </w:p>
    <w:p w14:paraId="0166849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Fonts w:ascii="Times New Roman" w:hAnsi="Times New Roman" w:cs="Times New Roman"/>
          <w:sz w:val="24"/>
          <w:szCs w:val="24"/>
        </w:rPr>
      </w:pPr>
      <w:r>
        <w:rPr>
          <w:rFonts w:ascii="Times New Roman" w:hAnsi="Times New Roman" w:cs="Times New Roman"/>
          <w:sz w:val="24"/>
          <w:szCs w:val="24"/>
        </w:rPr>
        <w:t>«Кубанский государственный аграрный университет</w:t>
      </w:r>
    </w:p>
    <w:p w14:paraId="54F971B1" w14:textId="77777777" w:rsidR="001B6C3B" w:rsidRPr="00C446B3"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Fonts w:ascii="Times New Roman" w:hAnsi="Times New Roman" w:cs="Times New Roman"/>
          <w:sz w:val="24"/>
          <w:szCs w:val="24"/>
          <w:lang w:val="en-US"/>
        </w:rPr>
      </w:pPr>
      <w:r>
        <w:rPr>
          <w:rFonts w:ascii="Times New Roman" w:hAnsi="Times New Roman" w:cs="Times New Roman"/>
          <w:sz w:val="24"/>
          <w:szCs w:val="24"/>
        </w:rPr>
        <w:t>имени</w:t>
      </w:r>
      <w:r w:rsidRPr="00C446B3">
        <w:rPr>
          <w:rFonts w:ascii="Times New Roman" w:hAnsi="Times New Roman" w:cs="Times New Roman"/>
          <w:sz w:val="24"/>
          <w:szCs w:val="24"/>
          <w:lang w:val="en-US"/>
        </w:rPr>
        <w:t xml:space="preserve"> </w:t>
      </w:r>
      <w:r>
        <w:rPr>
          <w:rFonts w:ascii="Times New Roman" w:hAnsi="Times New Roman" w:cs="Times New Roman"/>
          <w:sz w:val="24"/>
          <w:szCs w:val="24"/>
        </w:rPr>
        <w:t>И</w:t>
      </w:r>
      <w:r w:rsidRPr="00C446B3">
        <w:rPr>
          <w:rFonts w:ascii="Times New Roman" w:hAnsi="Times New Roman" w:cs="Times New Roman"/>
          <w:sz w:val="24"/>
          <w:szCs w:val="24"/>
          <w:lang w:val="en-US"/>
        </w:rPr>
        <w:t>.</w:t>
      </w:r>
      <w:r>
        <w:rPr>
          <w:rFonts w:ascii="Times New Roman" w:hAnsi="Times New Roman" w:cs="Times New Roman"/>
          <w:sz w:val="24"/>
          <w:szCs w:val="24"/>
        </w:rPr>
        <w:t>Т</w:t>
      </w:r>
      <w:r w:rsidRPr="00C446B3">
        <w:rPr>
          <w:rFonts w:ascii="Times New Roman" w:hAnsi="Times New Roman" w:cs="Times New Roman"/>
          <w:sz w:val="24"/>
          <w:szCs w:val="24"/>
          <w:lang w:val="en-US"/>
        </w:rPr>
        <w:t xml:space="preserve">. </w:t>
      </w:r>
      <w:r>
        <w:rPr>
          <w:rFonts w:ascii="Times New Roman" w:hAnsi="Times New Roman" w:cs="Times New Roman"/>
          <w:sz w:val="24"/>
          <w:szCs w:val="24"/>
        </w:rPr>
        <w:t>Трубилина</w:t>
      </w:r>
      <w:r w:rsidRPr="00C446B3">
        <w:rPr>
          <w:rFonts w:ascii="Times New Roman" w:hAnsi="Times New Roman" w:cs="Times New Roman"/>
          <w:sz w:val="24"/>
          <w:szCs w:val="24"/>
          <w:lang w:val="en-US"/>
        </w:rPr>
        <w:t>»</w:t>
      </w:r>
    </w:p>
    <w:p w14:paraId="008B6F2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Fonts w:ascii="Times New Roman" w:hAnsi="Times New Roman" w:cs="Times New Roman"/>
          <w:sz w:val="24"/>
          <w:szCs w:val="24"/>
          <w:lang w:val="en-US"/>
        </w:rPr>
      </w:pPr>
      <w:r>
        <w:rPr>
          <w:rFonts w:ascii="Times New Roman" w:hAnsi="Times New Roman" w:cs="Times New Roman"/>
          <w:sz w:val="24"/>
          <w:szCs w:val="24"/>
          <w:lang w:val="en-US"/>
        </w:rPr>
        <w:t>Federal State Budgetary Educational Institution of Higher</w:t>
      </w:r>
    </w:p>
    <w:p w14:paraId="003477B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Fonts w:ascii="Times New Roman" w:hAnsi="Times New Roman" w:cs="Times New Roman"/>
          <w:sz w:val="24"/>
          <w:szCs w:val="24"/>
          <w:lang w:val="en-US"/>
        </w:rPr>
      </w:pPr>
      <w:r>
        <w:rPr>
          <w:rFonts w:ascii="Times New Roman" w:hAnsi="Times New Roman" w:cs="Times New Roman"/>
          <w:sz w:val="24"/>
          <w:szCs w:val="24"/>
          <w:lang w:val="en-US"/>
        </w:rPr>
        <w:t>Education</w:t>
      </w:r>
    </w:p>
    <w:p w14:paraId="77E1C96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Fonts w:ascii="Times New Roman" w:hAnsi="Times New Roman" w:cs="Times New Roman"/>
          <w:sz w:val="24"/>
          <w:szCs w:val="24"/>
          <w:lang w:val="en-US"/>
        </w:rPr>
      </w:pPr>
      <w:r>
        <w:rPr>
          <w:rFonts w:ascii="Times New Roman" w:hAnsi="Times New Roman" w:cs="Times New Roman"/>
          <w:sz w:val="24"/>
          <w:szCs w:val="24"/>
          <w:lang w:val="en-US"/>
        </w:rPr>
        <w:t>“Kuban State Agrarian University named after I.T.</w:t>
      </w:r>
    </w:p>
    <w:p w14:paraId="2BF8478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Fonts w:ascii="Times New Roman" w:hAnsi="Times New Roman" w:cs="Times New Roman"/>
          <w:sz w:val="24"/>
          <w:szCs w:val="24"/>
          <w:lang w:val="en-US"/>
        </w:rPr>
      </w:pPr>
      <w:r>
        <w:rPr>
          <w:rFonts w:ascii="Times New Roman" w:hAnsi="Times New Roman" w:cs="Times New Roman"/>
          <w:sz w:val="24"/>
          <w:szCs w:val="24"/>
          <w:lang w:val="en-US"/>
        </w:rPr>
        <w:t>Trubilin”</w:t>
      </w:r>
    </w:p>
    <w:p w14:paraId="6EDDB32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Fonts w:ascii="Times New Roman" w:hAnsi="Times New Roman" w:cs="Times New Roman"/>
          <w:sz w:val="24"/>
          <w:szCs w:val="24"/>
          <w:lang w:val="en-US"/>
        </w:rPr>
      </w:pPr>
      <w:r>
        <w:rPr>
          <w:rFonts w:ascii="Times New Roman" w:hAnsi="Times New Roman" w:cs="Times New Roman"/>
          <w:sz w:val="24"/>
          <w:szCs w:val="24"/>
        </w:rPr>
        <w:t>Российская</w:t>
      </w:r>
      <w:r>
        <w:rPr>
          <w:rFonts w:ascii="Times New Roman" w:hAnsi="Times New Roman" w:cs="Times New Roman"/>
          <w:sz w:val="24"/>
          <w:szCs w:val="24"/>
          <w:lang w:val="en-US"/>
        </w:rPr>
        <w:t xml:space="preserve"> </w:t>
      </w:r>
      <w:r>
        <w:rPr>
          <w:rFonts w:ascii="Times New Roman" w:hAnsi="Times New Roman" w:cs="Times New Roman"/>
          <w:sz w:val="24"/>
          <w:szCs w:val="24"/>
        </w:rPr>
        <w:t>Федерация</w:t>
      </w:r>
      <w:r>
        <w:rPr>
          <w:rFonts w:ascii="Times New Roman" w:hAnsi="Times New Roman" w:cs="Times New Roman"/>
          <w:sz w:val="24"/>
          <w:szCs w:val="24"/>
          <w:lang w:val="en-US"/>
        </w:rPr>
        <w:t xml:space="preserve">, </w:t>
      </w:r>
      <w:r>
        <w:rPr>
          <w:rFonts w:ascii="Times New Roman" w:hAnsi="Times New Roman" w:cs="Times New Roman"/>
          <w:sz w:val="24"/>
          <w:szCs w:val="24"/>
        </w:rPr>
        <w:t>г</w:t>
      </w:r>
      <w:r>
        <w:rPr>
          <w:rFonts w:ascii="Times New Roman" w:hAnsi="Times New Roman" w:cs="Times New Roman"/>
          <w:sz w:val="24"/>
          <w:szCs w:val="24"/>
          <w:lang w:val="en-US"/>
        </w:rPr>
        <w:t xml:space="preserve">. </w:t>
      </w:r>
      <w:r>
        <w:rPr>
          <w:rFonts w:ascii="Times New Roman" w:hAnsi="Times New Roman" w:cs="Times New Roman"/>
          <w:sz w:val="24"/>
          <w:szCs w:val="24"/>
        </w:rPr>
        <w:t>Краснодар</w:t>
      </w:r>
    </w:p>
    <w:p w14:paraId="4A2FC61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Fonts w:ascii="Times New Roman" w:hAnsi="Times New Roman" w:cs="Times New Roman"/>
          <w:sz w:val="24"/>
          <w:szCs w:val="24"/>
          <w:lang w:val="en-US"/>
        </w:rPr>
      </w:pPr>
      <w:r>
        <w:rPr>
          <w:rFonts w:ascii="Times New Roman" w:hAnsi="Times New Roman" w:cs="Times New Roman"/>
          <w:sz w:val="24"/>
          <w:szCs w:val="24"/>
          <w:lang w:val="en-US"/>
        </w:rPr>
        <w:t>Russian Federation, Krasnodar</w:t>
      </w:r>
    </w:p>
    <w:p w14:paraId="25CEA324" w14:textId="77777777" w:rsidR="001B6C3B" w:rsidRDefault="00EE7838"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Fonts w:ascii="Times New Roman" w:hAnsi="Times New Roman" w:cs="Times New Roman"/>
          <w:sz w:val="24"/>
          <w:szCs w:val="24"/>
        </w:rPr>
      </w:pPr>
      <w:hyperlink r:id="rId47" w:history="1">
        <w:r w:rsidR="001B6C3B">
          <w:rPr>
            <w:rStyle w:val="a9"/>
            <w:rFonts w:ascii="Times New Roman" w:hAnsi="Times New Roman" w:cs="Times New Roman"/>
            <w:sz w:val="24"/>
            <w:szCs w:val="24"/>
            <w:lang w:val="en-US"/>
          </w:rPr>
          <w:t>Tishchenkov</w:t>
        </w:r>
        <w:r w:rsidR="001B6C3B">
          <w:rPr>
            <w:rStyle w:val="a9"/>
            <w:rFonts w:ascii="Times New Roman" w:hAnsi="Times New Roman" w:cs="Times New Roman"/>
            <w:sz w:val="24"/>
            <w:szCs w:val="24"/>
          </w:rPr>
          <w:t>_00@</w:t>
        </w:r>
        <w:r w:rsidR="001B6C3B">
          <w:rPr>
            <w:rStyle w:val="a9"/>
            <w:rFonts w:ascii="Times New Roman" w:hAnsi="Times New Roman" w:cs="Times New Roman"/>
            <w:sz w:val="24"/>
            <w:szCs w:val="24"/>
            <w:lang w:val="en-US"/>
          </w:rPr>
          <w:t>mail</w:t>
        </w:r>
        <w:r w:rsidR="001B6C3B">
          <w:rPr>
            <w:rStyle w:val="a9"/>
            <w:rFonts w:ascii="Times New Roman" w:hAnsi="Times New Roman" w:cs="Times New Roman"/>
            <w:sz w:val="24"/>
            <w:szCs w:val="24"/>
          </w:rPr>
          <w:t>.</w:t>
        </w:r>
        <w:r w:rsidR="001B6C3B">
          <w:rPr>
            <w:rStyle w:val="a9"/>
            <w:rFonts w:ascii="Times New Roman" w:hAnsi="Times New Roman" w:cs="Times New Roman"/>
            <w:sz w:val="24"/>
            <w:szCs w:val="24"/>
            <w:lang w:val="en-US"/>
          </w:rPr>
          <w:t>ru</w:t>
        </w:r>
      </w:hyperlink>
    </w:p>
    <w:p w14:paraId="0355669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jc w:val="both"/>
        <w:rPr>
          <w:rFonts w:ascii="Times New Roman" w:hAnsi="Times New Roman" w:cs="Times New Roman"/>
          <w:sz w:val="24"/>
          <w:szCs w:val="24"/>
        </w:rPr>
      </w:pPr>
      <w:r>
        <w:rPr>
          <w:rFonts w:ascii="Times New Roman" w:hAnsi="Times New Roman" w:cs="Times New Roman"/>
          <w:sz w:val="24"/>
          <w:szCs w:val="24"/>
        </w:rPr>
        <w:t>Кончаков А.Б.,преподаватель.</w:t>
      </w:r>
    </w:p>
    <w:p w14:paraId="7E4C448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p>
    <w:p w14:paraId="4EEED5C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hAnsi="Times New Roman" w:cs="Times New Roman"/>
          <w:b/>
          <w:bCs/>
          <w:sz w:val="24"/>
          <w:szCs w:val="24"/>
        </w:rPr>
      </w:pPr>
      <w:r>
        <w:rPr>
          <w:rFonts w:ascii="Times New Roman" w:hAnsi="Times New Roman" w:cs="Times New Roman"/>
          <w:b/>
          <w:bCs/>
          <w:sz w:val="24"/>
          <w:szCs w:val="24"/>
        </w:rPr>
        <w:t>ПРОБЛЕМЫ ОБЩЕЙ ДОЛЕВОЙ СОБСТВЕННОСТИ</w:t>
      </w:r>
    </w:p>
    <w:p w14:paraId="3B8CFEB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hAnsi="Times New Roman" w:cs="Times New Roman"/>
          <w:b/>
          <w:bCs/>
          <w:sz w:val="24"/>
          <w:szCs w:val="24"/>
        </w:rPr>
      </w:pPr>
    </w:p>
    <w:p w14:paraId="2B14021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hAnsi="Times New Roman" w:cs="Times New Roman"/>
          <w:b/>
          <w:bCs/>
          <w:sz w:val="24"/>
          <w:szCs w:val="24"/>
        </w:rPr>
      </w:pPr>
      <w:r>
        <w:rPr>
          <w:rFonts w:ascii="Times New Roman" w:hAnsi="Times New Roman" w:cs="Times New Roman"/>
          <w:b/>
          <w:bCs/>
          <w:sz w:val="24"/>
          <w:szCs w:val="24"/>
        </w:rPr>
        <w:t>PROBLEMS OF GENERAL SHARE PROPERTY</w:t>
      </w:r>
    </w:p>
    <w:p w14:paraId="39A0861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p>
    <w:p w14:paraId="5E441AF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Аннотация: в данной статье рассматривается общая долевая собственность, отношения, возникающие при пользовании имуществом, правовое положение субъектов и основные проблемы. Анализируется судебная практика, обосновывается необходимость совершенствования права в данной области. Поднимутся вопросы незначительной доли и условия изменения долей в праве. Особенности реализации права преимущественной покупки. Сделан вывод о сложности взаимоотношения сособственников и необходимости общего согласия, либо ряда обстоятельств для решения данных вопросов в судебном порядке.</w:t>
      </w:r>
    </w:p>
    <w:p w14:paraId="75CC031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Ключевые слова: общая долевая собственность; сособственники; доля; имущество; незначительная доля; преимущественное право покупки; судебная практика; изменение долей; проблемы; отчуждение доли.</w:t>
      </w:r>
    </w:p>
    <w:p w14:paraId="2E9FAFD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lang w:val="en-US"/>
        </w:rPr>
      </w:pPr>
      <w:r>
        <w:rPr>
          <w:rFonts w:ascii="Times New Roman" w:hAnsi="Times New Roman" w:cs="Times New Roman"/>
          <w:sz w:val="24"/>
          <w:szCs w:val="24"/>
        </w:rPr>
        <w:t>А</w:t>
      </w:r>
      <w:r>
        <w:rPr>
          <w:rFonts w:ascii="Times New Roman" w:hAnsi="Times New Roman" w:cs="Times New Roman"/>
          <w:sz w:val="24"/>
          <w:szCs w:val="24"/>
          <w:lang w:val="en-US"/>
        </w:rPr>
        <w:t>nnotation: this article discusses issues of common shared ownership, relations arising from the use of property, legal status of subjects and major issues. The judicial practice is analyzed, the need to improve rights in this area is substantiated. Issues of an insignificant share and conditions for changing the shares in the law will be raised. Features of the exercise of preemptive rights. The conclusion is drawn about the complexity of the relationship between the co-owners and the need for general consent, or a number of circumstances to resolve these issues in a judicial proceeding.</w:t>
      </w:r>
    </w:p>
    <w:p w14:paraId="3F29E2B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lang w:val="en-US"/>
        </w:rPr>
      </w:pPr>
      <w:r>
        <w:rPr>
          <w:rFonts w:ascii="Times New Roman" w:hAnsi="Times New Roman" w:cs="Times New Roman"/>
          <w:sz w:val="24"/>
          <w:szCs w:val="24"/>
          <w:lang w:val="en-US"/>
        </w:rPr>
        <w:t>Keywords: common share ownership; co-owners; share; property; insignificant share; pre-emptive right to purchase; judicial practice; change in shares; problems; alienation of a share.</w:t>
      </w:r>
    </w:p>
    <w:p w14:paraId="44EA3F0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Данная тема является актуальной, так как собственность занимает важное место в жизни общества и человека. Право собственности берет свое начало еще со времен римского частного права, где оно означало единоличное господство лица над вещью, абсолютное владение в интересах индивида. Но так же не стоит забывать, и он жизненных ситуациях, когда право на одну вещь может принадлежать нескольких лицам, где берут свое начало коллективные особенности. Основной задачей права является примирение двух конкурирующих начал, для эффективного регулирования данной отрасли. В гражданском законодательстве общую собственность различают в зависимости от того, как организованы внутренние отношения. Гражданский кодекс РФ предусматривает два вида общей собственности: долевую и совместную.</w:t>
      </w:r>
    </w:p>
    <w:p w14:paraId="69808EC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Общей долевой собственностью является деления имущества на доли, где все участники совместно владеют собственность, на основании своей доли в праве. Доля же является ключевым понятием общей долевой собственности так как она регулирует отношения между совладельцами наделяя их правами и соответственными обязанностями. Доли в праве могут быть определены договором, либо соглашением всех участником, если же нет, то в соответствии с законом она считаются равными. В соглашении всех участников долевой собственности может быть установлен порядок определения и изменения долей, в зависимости от вклада каждого участника в образование и приращение общего имущества. Управление общим имуществом осуществляется по общему соглашению. Если соглашение не достигается, то спор рассматривается судом</w:t>
      </w:r>
      <w:r>
        <w:rPr>
          <w:rStyle w:val="a7"/>
          <w:rFonts w:ascii="Times New Roman" w:hAnsi="Times New Roman" w:cs="Times New Roman"/>
          <w:sz w:val="24"/>
          <w:szCs w:val="24"/>
        </w:rPr>
        <w:footnoteReference w:id="357"/>
      </w:r>
      <w:r>
        <w:rPr>
          <w:rFonts w:ascii="Times New Roman" w:hAnsi="Times New Roman" w:cs="Times New Roman"/>
          <w:sz w:val="24"/>
          <w:szCs w:val="24"/>
        </w:rPr>
        <w:t>.</w:t>
      </w:r>
    </w:p>
    <w:p w14:paraId="03F2AB6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Основания приобретения долевой собственности являются разными. Основными из них являются приобретение по договору, наследование вещи несколькими наследниками, совместная переработка, клад, найденный одним лицом на земельном участке, здании и другие.</w:t>
      </w:r>
    </w:p>
    <w:p w14:paraId="0FA68E5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С каждым годом имущество приобретают все больший круг лиц, что способствует возникновению разнообразных вопросов, вызванных в проблемах правового регулирования отношений по поводу собственности.</w:t>
      </w:r>
    </w:p>
    <w:p w14:paraId="03AEBBF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Гражданское законодательство предусматривает изменение размера долевой собственности одно из участника общей долевой собственности, если он за свой счет совершил неотделимые улучшения этого имущества в соответствии с установленным порядком.  </w:t>
      </w:r>
    </w:p>
    <w:p w14:paraId="616D432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Так, например, в Шумихинский районный суд обратилась «Т. В.А. с иском к З. Г.В. об изменении долей в праве собственности с 1/2 на 81/100 обосновывая это тем, что произвел капитальный ремонт дома за свой счет, повлекшем увеличение стоимости собственностей обосновывает свои действия тем, что износ дома уже составлял 50%. Ответчик не давал согласие на улучшение, так же аргументирует тем, что дом не нуждался в капитальном ремонте и что затраты на него завышены.</w:t>
      </w:r>
    </w:p>
    <w:p w14:paraId="37B5FBE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Суд удовлетворяет исковые требования об увеличении доли истца в праве собственности на спорную квартиру с 1/2 до 81/100, поскольку истцом были произведены неотделимые и необходимы улучшения. К данным улучшениям эксперт отнес: подключение квартиры к центральному водопроводу, монтаж канализации и септика, подключение квартиры к автономному водоснабжению из скважины и монтаж соответствующего водопровода, подключение квартиры к газопроводу для отопления, частичный ремонт фундамента, наружных стен квартиры и другие»</w:t>
      </w:r>
      <w:r>
        <w:rPr>
          <w:rStyle w:val="a7"/>
          <w:rFonts w:ascii="Times New Roman" w:hAnsi="Times New Roman" w:cs="Times New Roman"/>
          <w:sz w:val="24"/>
          <w:szCs w:val="24"/>
        </w:rPr>
        <w:footnoteReference w:id="358"/>
      </w:r>
      <w:r>
        <w:rPr>
          <w:rFonts w:ascii="Times New Roman" w:hAnsi="Times New Roman" w:cs="Times New Roman"/>
          <w:sz w:val="24"/>
          <w:szCs w:val="24"/>
        </w:rPr>
        <w:t>.</w:t>
      </w:r>
    </w:p>
    <w:p w14:paraId="5B8D5A0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Ключевыми моментами являются неодолимость и необходимость улучшений, а также соблюдения установленного порядка. Пленум Верховного Суда Российской Федерации в пункте 1.1 Постановления "О некоторых вопросах практики рассмотрения судами споров, возникающих между участниками общей собственности на жилой дом"</w:t>
      </w:r>
      <w:r>
        <w:rPr>
          <w:rStyle w:val="a7"/>
          <w:rFonts w:ascii="Times New Roman" w:hAnsi="Times New Roman" w:cs="Times New Roman"/>
          <w:sz w:val="24"/>
          <w:szCs w:val="24"/>
        </w:rPr>
        <w:footnoteReference w:id="359"/>
      </w:r>
      <w:r>
        <w:rPr>
          <w:rFonts w:ascii="Times New Roman" w:hAnsi="Times New Roman" w:cs="Times New Roman"/>
          <w:sz w:val="24"/>
          <w:szCs w:val="24"/>
        </w:rPr>
        <w:t xml:space="preserve"> разъяснил о том, что требование об изменении долей в праве собственности может быть удовлетворено лишь при условии, если улучшения жилого дома осуществлены с соблюдением установленного порядка использования общего имущества и являются неотделимыми.</w:t>
      </w:r>
    </w:p>
    <w:p w14:paraId="58C3B69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Каждый участник имеет право самостоятельно распоряжаться своей долей. Большую роль при отчуждении доли в праве играет возмездное и безвозмездное отчуждение. При безвозмездном отчуждении лицо не коим образом не ограниченно в законе. А вот при возмездном он обязан соблюдать интересы других собственников, где они имеют право </w:t>
      </w:r>
      <w:r>
        <w:rPr>
          <w:rFonts w:ascii="Times New Roman" w:hAnsi="Times New Roman" w:cs="Times New Roman"/>
          <w:sz w:val="24"/>
          <w:szCs w:val="24"/>
        </w:rPr>
        <w:lastRenderedPageBreak/>
        <w:t xml:space="preserve">преимущественной покупки приобретения доли по цене, за которую она продается и на прочих равных условиях. Продавец должен письменно уведомить других сособственников о желание продажи своей доли третьему лицу. Для продажи доли срок составляет 30 дней для недвижимого и 10 дней для движимого имущества со дня уведомления. Выглядит все на первый взгляд достаточно просто и ясно в процедуре осуществления преимущественного права покупки, но здесь же в основном и сталкиваются с целым рядом споров, в некоторых случаях и неразрешимых вопросов. Прежде всего, вопросы возникают с порядком и формой извещения о продажи доли. Закон предусматривает извещение только в письменном виде. Но и тут возникаю проблемы, так как отчуждающему свою долю может быть не известно место нахождения собственника. Некоторые авторы предлагают считать требования выполненными если продавец предоставит доказательства о направлении им уведомления о продаже по последнему известному месте жительства отсутствующих собственников и том что место их пребывания не известно. Это могло бы решить некоторые вопросы, но встречаются случаи, когда собственник не знал о наличии других собственников, в связи с разнообразными юридическими фактами. Такие случаи особенно частые в коммунальных домах, где у многих собственником могут быть незначительные доли, либо они отсутствуют на протяжении долгого времени, либо умерли, а о наследниках нет сведений. Но не во всех случаях существует необходимость в письменном уведомлении других сособственников о предстоящей продаже. Например, при отчуждении земель сельхоз назначения каждый совладелец имеет право продажи своей доли третьему лицу без уведомления других участников. </w:t>
      </w:r>
    </w:p>
    <w:p w14:paraId="6740252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При продаже доли с несоблюдением преимущественного права покупки, любой другой участник долевой собственности имеет права в течение трех месяцев в судебном порядке требовать перевода прав и обязанностей по сделки на него (п.3ст.250 ГК РФ). Данный срок для предоставления иска не подлежит продлению, восстановлению, так как является пресекательным. Так же не допускается уступка права преимущественной покупки (п.4ст.250 ГК РФ).</w:t>
      </w:r>
    </w:p>
    <w:p w14:paraId="22DE3DC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Одна из основных проблем в преимущественном праве покупки появляется в тех случаях, когда все сособственники хотят приобрести продаваемую долю. В данном случае я вижу одно рациональное и правильное решение данной проблемы, таковым я считаю заключение договора купли-продажи с лицом первым обратившимся к продавцу. Так же можно сказать, что продавец сам может отдать предпочтение какому-либо покупателю.</w:t>
      </w:r>
    </w:p>
    <w:p w14:paraId="42F4073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Следующей проблемой можно по праву считать незначительную долю. В соответствии с действующим законом, незначительная доля ― это такая доля, которая не может быть реально выделена, что указано в ст. 252 ГК РФ</w:t>
      </w:r>
      <w:r>
        <w:rPr>
          <w:rStyle w:val="a7"/>
          <w:rFonts w:ascii="Times New Roman" w:hAnsi="Times New Roman" w:cs="Times New Roman"/>
          <w:sz w:val="24"/>
          <w:szCs w:val="24"/>
        </w:rPr>
        <w:footnoteReference w:id="360"/>
      </w:r>
      <w:r>
        <w:rPr>
          <w:rFonts w:ascii="Times New Roman" w:hAnsi="Times New Roman" w:cs="Times New Roman"/>
          <w:sz w:val="24"/>
          <w:szCs w:val="24"/>
        </w:rPr>
        <w:t>. В соответствии с требованиями к минимальным нормативам по жилым квадратным метрам на человека в каждом конкретном регионе. (в Краснодаре это 10 метров на человека.)</w:t>
      </w:r>
    </w:p>
    <w:p w14:paraId="26C62E6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По сложившейся практике незначительная доля в квартире ― это меньше 1/4 её площади. Закон не имеет никакой нормативной привязки доли в квартире к квадратным метрам. Из-за чего количество сособственников может сильно увеличиваться. Не стоит забывать и о членах семьи, имеющих права проживать с собственником в принадлежащем ему жилом помещении и имеющих право пользования этим жилым помещением на условиях, предусмотренных жилищным законодательством (п. 1 ст. 292 ГК РФ).</w:t>
      </w:r>
    </w:p>
    <w:p w14:paraId="1BEF530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Частью 1 ст. 31 Жилищного кодекса РФ предусмотрено, что к членам семьи собственника жилого помещения относятся проживающие совместно с данным собственником в принадлежащем ему жилом помещении его супруг, а также дети и родители данного собственника</w:t>
      </w:r>
      <w:r>
        <w:rPr>
          <w:rStyle w:val="a7"/>
          <w:rFonts w:ascii="Times New Roman" w:hAnsi="Times New Roman" w:cs="Times New Roman"/>
          <w:sz w:val="24"/>
          <w:szCs w:val="24"/>
        </w:rPr>
        <w:footnoteReference w:id="361"/>
      </w:r>
      <w:r>
        <w:rPr>
          <w:rFonts w:ascii="Times New Roman" w:hAnsi="Times New Roman" w:cs="Times New Roman"/>
          <w:sz w:val="24"/>
          <w:szCs w:val="24"/>
        </w:rPr>
        <w:t>.</w:t>
      </w:r>
    </w:p>
    <w:p w14:paraId="4751081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Например, Верховный суд РФ установил, «что З. М.З., З Ш.З., З М.З. обратились в суд с иском к ФИО2. о выселении из квартиры. Истцы обосновывают свой иск тем, что каждому из них принадлежит по 1/6 доли в праве собственности на квартиру. 1/2 доли в праве </w:t>
      </w:r>
      <w:r>
        <w:rPr>
          <w:rFonts w:ascii="Times New Roman" w:hAnsi="Times New Roman" w:cs="Times New Roman"/>
          <w:sz w:val="24"/>
          <w:szCs w:val="24"/>
        </w:rPr>
        <w:lastRenderedPageBreak/>
        <w:t>собственности на данную квартиру принадлежит Р Е.А., которая проживает в квартире вместе со своей семьей - несовершеннолетним сыном ФИО1. и мужем ФИО2. ФИО2 в спорной квартире не зарегистрирован, имеет другое место жительства. Поскольку согласия истцов на вселение ФИО2. в спорную квартиру не получал, следовательно, его проживание в квартире нарушает их права как собственников данного жилого помещения, обратились в суд с настоящим иском»</w:t>
      </w:r>
      <w:r>
        <w:rPr>
          <w:rStyle w:val="a7"/>
          <w:rFonts w:ascii="Times New Roman" w:hAnsi="Times New Roman" w:cs="Times New Roman"/>
          <w:sz w:val="24"/>
          <w:szCs w:val="24"/>
        </w:rPr>
        <w:footnoteReference w:id="362"/>
      </w:r>
      <w:r>
        <w:rPr>
          <w:rFonts w:ascii="Times New Roman" w:hAnsi="Times New Roman" w:cs="Times New Roman"/>
          <w:sz w:val="24"/>
          <w:szCs w:val="24"/>
        </w:rPr>
        <w:t>.</w:t>
      </w:r>
    </w:p>
    <w:p w14:paraId="0AAF237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Суд первой инстанции в удовлетворении иска отказал. Суд апелляционной инстанции при пересмотре приняло решение удовлетворить иск.</w:t>
      </w:r>
    </w:p>
    <w:p w14:paraId="7BF00A9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Далее Судебная коллегия по гражданским делам Верховного Суда Российской Федерации утверждает, что судом апелляционной инстанции допущено существенное нарушение норм материального права, что выразилось в следующем. Ссылаясь на то, что ответчик был вселен с согласия собственника 1/2 Р.Е.А в 2008 году, как член ее семьи, а также приобретая долю в спорной квартире в 2014 году, истец З. Ш.З. знал о проживании в данной квартире всей семьи П, семейные отношения которых сложились до появления истца в качестве собственника доли спорного жилого помещения. Апелляционное определение принято с существенными нарушениями норм материального права. Данное судебное постановление подлежит отмене, а дело – направить на новое апелляционное рассмотрение с учетом изложенных обстоятельств.</w:t>
      </w:r>
    </w:p>
    <w:p w14:paraId="42D2D01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Таким образом суд не всегда принимает решение в пользу истца, а лишь при наличии определенных обстоятельств. Таких, как невозможности выдела изолированной комнаты, соответствовавшей величине его доли; остальные участники долевой собственности являются посторонними истцу людьми; заявитель никогда не вселялся на спорную площадь; при заключении договора по приобретению объекта, заявитель знал о ситуации с имуществом. Участник до предъявления ему иска не просился в квартиру и не оспаривал свои права.</w:t>
      </w:r>
    </w:p>
    <w:p w14:paraId="2C86EE9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Доли в квартире часто продают на много меньше кадастровой стоимости и этим любят злоупотреблять разнообразные мошенники. Не желая делить недавно приобретённое имущество они всеми силами стараются выжить сособственников. Для большего удобства они могут совершать договора дарения, чтобы обойти преимущественное право покупки. Суд в праве обязать злоумышленников пустить другого совладельца и не препятствовать ему распоряжаться общим имуществом, но в конечном итоге они разными способами ущемляют его права, склоняя его либо навсегда покинуть данное место проживания, либо выкупить его долю за более заниженную сумму, относительно кадастровой.</w:t>
      </w:r>
    </w:p>
    <w:p w14:paraId="4F7BA23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Анализируя практику суд чаще всего не способствует решению проблемы. Принимая решения о вселении жильца сложно просчитать ситуации об их совместном проживании, особенно если квартира не обладает большой площадью, либо раздельными комнатами.</w:t>
      </w:r>
    </w:p>
    <w:p w14:paraId="550C15B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России практика продаж обособленных комнат в квартире сложилась благодаря коммунальным квартирам, в которых и сейчас продолжает проживать большее количество малоимущего населения. Конфликты в таких помещениях являются не редкостью и факт владения обособленной комнатой не способствует его решения.</w:t>
      </w:r>
    </w:p>
    <w:p w14:paraId="4BAADF1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Некоторые страны отказались от принципа долевого владения имуществом, чтобы избежать проблем на практике. В Германии, например, наследники не могут совместно владеть завещанным им имуществом, принуждая одного из них выкупить долю у остальных, а если это становиться невозможным, то имущество продаётся, а деньги распределяется между наследниками. </w:t>
      </w:r>
    </w:p>
    <w:p w14:paraId="753DFAC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Российское законодательство тоже не стоит на месте, все чаще стал подниматься вопрос о запрете продажи незначительных долей, в так же установить ограничение по продаже долей не советующих минимальному размеру квадратных метров на человека. Ограничить в прописке жильцов и запретить вселение в квартиру, чья доля не соответствует минимуму. Данные поправки, направленны на борьбу с рейдерами, которые выкупают микродоли и </w:t>
      </w:r>
      <w:r>
        <w:rPr>
          <w:rFonts w:ascii="Times New Roman" w:hAnsi="Times New Roman" w:cs="Times New Roman"/>
          <w:sz w:val="24"/>
          <w:szCs w:val="24"/>
        </w:rPr>
        <w:lastRenderedPageBreak/>
        <w:t>выживают других сособственников, и искоренению проблем с невозможностью воспользоваться своим правом в собственности.</w:t>
      </w:r>
    </w:p>
    <w:p w14:paraId="65CA9AA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гражданском законодательстве действует принцип неприкосновенности собственности, из-за чего выдел компенсации вместо выделения доли в натуре не возможно без согласия собственников. Суд же может обязать компенсировать сособственников незначительную долю, особенно если у ее владельца нет заинтересованности в ее использовании. Но на практике это создает еще больше спорных вопросов. Поэтому правоотношения общей долевой собственности стоит рассматривать как сложное, абсолютное правоотношение с множеством управомоченных участников. Каждый участник общего долевого имущества имеет права распоряжаться своим имущество, но и параллельно должен воздержаться от нарушения прав других совладельцев.</w:t>
      </w:r>
    </w:p>
    <w:p w14:paraId="289CDEC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p>
    <w:p w14:paraId="251A47E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Библиографический список</w:t>
      </w:r>
    </w:p>
    <w:p w14:paraId="7C459F8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w:t>
      </w:r>
    </w:p>
    <w:p w14:paraId="16057E0C" w14:textId="77777777" w:rsidR="001B6C3B" w:rsidRDefault="001B6C3B" w:rsidP="00E3198A">
      <w:pPr>
        <w:pStyle w:val="a4"/>
        <w:numPr>
          <w:ilvl w:val="0"/>
          <w:numId w:val="3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Баринов, Д.А. Некоторые теоретические аспекты определения понятия доли в праве собственности / Д.А. Баринов // Matters of Russian and International Law. 5, – 2016. – №2. – С. 30-36.</w:t>
      </w:r>
    </w:p>
    <w:p w14:paraId="6BC145D5" w14:textId="77777777" w:rsidR="001B6C3B" w:rsidRDefault="001B6C3B" w:rsidP="00E3198A">
      <w:pPr>
        <w:pStyle w:val="a4"/>
        <w:numPr>
          <w:ilvl w:val="0"/>
          <w:numId w:val="3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Волков, Д.А. Проблемы собственности в России / Д.А. Волков // Московский центр «Карнеги». – 2018. – №6. – С. 1–15</w:t>
      </w:r>
    </w:p>
    <w:p w14:paraId="70A0F469" w14:textId="77777777" w:rsidR="001B6C3B" w:rsidRDefault="001B6C3B" w:rsidP="00E3198A">
      <w:pPr>
        <w:pStyle w:val="a4"/>
        <w:numPr>
          <w:ilvl w:val="0"/>
          <w:numId w:val="3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Ворошилова, Г.Г. Иск о признании права собственности как способ защиты права собственности / Г.Г. Ворошилова // Власть Закона. – 2016. – №4. – С. 208-214.</w:t>
      </w:r>
    </w:p>
    <w:p w14:paraId="69CD600B" w14:textId="77777777" w:rsidR="001B6C3B" w:rsidRDefault="001B6C3B" w:rsidP="00E3198A">
      <w:pPr>
        <w:pStyle w:val="a4"/>
        <w:numPr>
          <w:ilvl w:val="0"/>
          <w:numId w:val="3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Гражданское право: Учебник/ Под ред. А.П. Сергеева, Ю.К. Толстого; Елисеев И.В.; Иванов А.А.; Кротов М.В.; Медведев Д.А. и др.- 5-е изд., перераб. и доп.- М.: Проспект, 2005.- 410 с.</w:t>
      </w:r>
    </w:p>
    <w:p w14:paraId="06EA889A" w14:textId="77777777" w:rsidR="001B6C3B" w:rsidRDefault="001B6C3B" w:rsidP="00E3198A">
      <w:pPr>
        <w:pStyle w:val="a4"/>
        <w:numPr>
          <w:ilvl w:val="0"/>
          <w:numId w:val="3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Груденко, С.В. Собственность как правовая категория: понятие и сущность / С.В. Груденко // Социальная компетентность. – 2017. – №8. Т. 2(4). – С. 157-158.</w:t>
      </w:r>
    </w:p>
    <w:p w14:paraId="6E87200F" w14:textId="77777777" w:rsidR="001B6C3B" w:rsidRDefault="001B6C3B" w:rsidP="00E3198A">
      <w:pPr>
        <w:pStyle w:val="a4"/>
        <w:numPr>
          <w:ilvl w:val="0"/>
          <w:numId w:val="3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Российское гражданское право: Учебник/ Под ред. З.Г. Крыловой, Э.П. Гаврилова; Гаврилов Э.П.; Гуреев В.И.; Куник Я. А.; Зайцев И. Ф. и др.- 2-е изд.- М.: ЮрИнфоР, 2007.- 292 с</w:t>
      </w:r>
    </w:p>
    <w:p w14:paraId="50E5CE6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sectPr w:rsidR="001B6C3B">
          <w:footnotePr>
            <w:numRestart w:val="eachPage"/>
          </w:footnotePr>
          <w:pgSz w:w="11906" w:h="16838"/>
          <w:pgMar w:top="1134" w:right="1134" w:bottom="1134" w:left="1134" w:header="708" w:footer="708" w:gutter="0"/>
          <w:cols w:space="720"/>
        </w:sectPr>
      </w:pPr>
    </w:p>
    <w:p w14:paraId="5261191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left="4962"/>
        <w:jc w:val="both"/>
        <w:rPr>
          <w:rFonts w:ascii="Times New Roman" w:hAnsi="Times New Roman" w:cs="Times New Roman"/>
          <w:b/>
          <w:sz w:val="24"/>
          <w:szCs w:val="24"/>
        </w:rPr>
      </w:pPr>
      <w:r>
        <w:rPr>
          <w:rFonts w:ascii="Times New Roman" w:hAnsi="Times New Roman" w:cs="Times New Roman"/>
          <w:b/>
          <w:sz w:val="24"/>
          <w:szCs w:val="24"/>
        </w:rPr>
        <w:lastRenderedPageBreak/>
        <w:t>УДК 347.2</w:t>
      </w:r>
    </w:p>
    <w:p w14:paraId="720CA0D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left="4962"/>
        <w:jc w:val="both"/>
        <w:rPr>
          <w:rFonts w:ascii="Times New Roman" w:hAnsi="Times New Roman" w:cs="Times New Roman"/>
          <w:b/>
          <w:sz w:val="24"/>
          <w:szCs w:val="24"/>
        </w:rPr>
      </w:pPr>
    </w:p>
    <w:p w14:paraId="69836F0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left="4962"/>
        <w:jc w:val="both"/>
        <w:rPr>
          <w:rFonts w:ascii="Times New Roman" w:hAnsi="Times New Roman" w:cs="Times New Roman"/>
          <w:b/>
          <w:sz w:val="24"/>
          <w:szCs w:val="24"/>
        </w:rPr>
      </w:pPr>
      <w:r>
        <w:rPr>
          <w:rFonts w:ascii="Times New Roman" w:hAnsi="Times New Roman" w:cs="Times New Roman"/>
          <w:b/>
          <w:sz w:val="24"/>
          <w:szCs w:val="24"/>
        </w:rPr>
        <w:t>Хмельков Никита Владимирович</w:t>
      </w:r>
    </w:p>
    <w:p w14:paraId="7246995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62"/>
        <w:jc w:val="both"/>
        <w:rPr>
          <w:rFonts w:ascii="Times New Roman" w:hAnsi="Times New Roman" w:cs="Times New Roman"/>
          <w:b/>
          <w:sz w:val="24"/>
          <w:szCs w:val="24"/>
        </w:rPr>
      </w:pPr>
      <w:r>
        <w:rPr>
          <w:rFonts w:ascii="Times New Roman" w:hAnsi="Times New Roman" w:cs="Times New Roman"/>
          <w:b/>
          <w:sz w:val="24"/>
          <w:szCs w:val="24"/>
        </w:rPr>
        <w:t xml:space="preserve">Hmelkov Nikita Vladimirovich </w:t>
      </w:r>
    </w:p>
    <w:p w14:paraId="19754A8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62"/>
        <w:jc w:val="both"/>
        <w:rPr>
          <w:rFonts w:ascii="Times New Roman" w:hAnsi="Times New Roman" w:cs="Times New Roman"/>
          <w:sz w:val="24"/>
          <w:szCs w:val="24"/>
        </w:rPr>
      </w:pPr>
      <w:r>
        <w:rPr>
          <w:rFonts w:ascii="Times New Roman" w:hAnsi="Times New Roman" w:cs="Times New Roman"/>
          <w:sz w:val="24"/>
          <w:szCs w:val="24"/>
        </w:rPr>
        <w:t xml:space="preserve">магистрант (ЮФ 1942) </w:t>
      </w:r>
    </w:p>
    <w:p w14:paraId="43B86E8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62"/>
        <w:jc w:val="both"/>
        <w:rPr>
          <w:rFonts w:ascii="Times New Roman" w:hAnsi="Times New Roman" w:cs="Times New Roman"/>
          <w:sz w:val="24"/>
          <w:szCs w:val="24"/>
        </w:rPr>
      </w:pPr>
      <w:r>
        <w:rPr>
          <w:rFonts w:ascii="Times New Roman" w:hAnsi="Times New Roman" w:cs="Times New Roman"/>
          <w:sz w:val="24"/>
          <w:szCs w:val="24"/>
        </w:rPr>
        <w:t>Федеральное государственное бюджетное образовательное учреждение высшего образования «Кубанский государственный аграрный университет имени И.Т. Трубилина»</w:t>
      </w:r>
    </w:p>
    <w:p w14:paraId="15747926"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962"/>
        <w:jc w:val="both"/>
        <w:rPr>
          <w:lang w:eastAsia="en-US"/>
        </w:rPr>
      </w:pPr>
      <w:r>
        <w:rPr>
          <w:lang w:eastAsia="en-US"/>
        </w:rPr>
        <w:t>Federal State Budgetary Educational Institution of Higher Education</w:t>
      </w:r>
    </w:p>
    <w:p w14:paraId="30586D50"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962"/>
        <w:jc w:val="both"/>
        <w:rPr>
          <w:lang w:eastAsia="en-US"/>
        </w:rPr>
      </w:pPr>
      <w:r>
        <w:rPr>
          <w:lang w:eastAsia="en-US"/>
        </w:rPr>
        <w:t>«Kuban State Agrarian University named after I.T. Trubilin»</w:t>
      </w:r>
    </w:p>
    <w:p w14:paraId="4B666CFB"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962"/>
        <w:jc w:val="both"/>
        <w:rPr>
          <w:lang w:val="ru-RU" w:eastAsia="en-US"/>
        </w:rPr>
      </w:pPr>
      <w:r>
        <w:rPr>
          <w:lang w:val="ru-RU" w:eastAsia="en-US"/>
        </w:rPr>
        <w:t>Российская Федерация, г. Краснодар</w:t>
      </w:r>
    </w:p>
    <w:p w14:paraId="336FA7A2"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962"/>
        <w:jc w:val="both"/>
        <w:rPr>
          <w:lang w:val="ru-RU" w:eastAsia="en-US"/>
        </w:rPr>
      </w:pPr>
      <w:r>
        <w:rPr>
          <w:lang w:eastAsia="en-US"/>
        </w:rPr>
        <w:t>RussianFederation</w:t>
      </w:r>
      <w:r>
        <w:rPr>
          <w:lang w:val="ru-RU" w:eastAsia="en-US"/>
        </w:rPr>
        <w:t xml:space="preserve">, </w:t>
      </w:r>
      <w:r>
        <w:rPr>
          <w:lang w:eastAsia="en-US"/>
        </w:rPr>
        <w:t>Krasnodar</w:t>
      </w:r>
    </w:p>
    <w:p w14:paraId="5D7ED282" w14:textId="77777777" w:rsidR="001B6C3B" w:rsidRDefault="00EE7838"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62"/>
        <w:jc w:val="both"/>
        <w:rPr>
          <w:rFonts w:ascii="Times New Roman" w:hAnsi="Times New Roman" w:cs="Times New Roman"/>
          <w:sz w:val="24"/>
          <w:szCs w:val="24"/>
        </w:rPr>
      </w:pPr>
      <w:hyperlink r:id="rId48" w:history="1">
        <w:r w:rsidR="001B6C3B">
          <w:rPr>
            <w:rStyle w:val="a9"/>
            <w:rFonts w:ascii="Times New Roman" w:hAnsi="Times New Roman" w:cs="Times New Roman"/>
            <w:sz w:val="24"/>
            <w:szCs w:val="24"/>
            <w:lang w:val="en-US"/>
          </w:rPr>
          <w:t>nik</w:t>
        </w:r>
        <w:r w:rsidR="001B6C3B">
          <w:rPr>
            <w:rStyle w:val="a9"/>
            <w:rFonts w:ascii="Times New Roman" w:hAnsi="Times New Roman" w:cs="Times New Roman"/>
            <w:sz w:val="24"/>
            <w:szCs w:val="24"/>
          </w:rPr>
          <w:t>2557542@</w:t>
        </w:r>
        <w:r w:rsidR="001B6C3B">
          <w:rPr>
            <w:rStyle w:val="a9"/>
            <w:rFonts w:ascii="Times New Roman" w:hAnsi="Times New Roman" w:cs="Times New Roman"/>
            <w:sz w:val="24"/>
            <w:szCs w:val="24"/>
            <w:lang w:val="en-US"/>
          </w:rPr>
          <w:t>gmail</w:t>
        </w:r>
        <w:r w:rsidR="001B6C3B">
          <w:rPr>
            <w:rStyle w:val="a9"/>
            <w:rFonts w:ascii="Times New Roman" w:hAnsi="Times New Roman" w:cs="Times New Roman"/>
            <w:sz w:val="24"/>
            <w:szCs w:val="24"/>
          </w:rPr>
          <w:t>.</w:t>
        </w:r>
        <w:r w:rsidR="001B6C3B">
          <w:rPr>
            <w:rStyle w:val="a9"/>
            <w:rFonts w:ascii="Times New Roman" w:hAnsi="Times New Roman" w:cs="Times New Roman"/>
            <w:sz w:val="24"/>
            <w:szCs w:val="24"/>
            <w:lang w:val="en-US"/>
          </w:rPr>
          <w:t>com</w:t>
        </w:r>
      </w:hyperlink>
    </w:p>
    <w:p w14:paraId="655EAB3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4"/>
          <w:szCs w:val="24"/>
        </w:rPr>
      </w:pPr>
    </w:p>
    <w:p w14:paraId="7BDACBE5"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962"/>
        <w:jc w:val="both"/>
        <w:rPr>
          <w:lang w:val="ru-RU"/>
        </w:rPr>
      </w:pPr>
      <w:r>
        <w:rPr>
          <w:lang w:val="ru-RU"/>
        </w:rPr>
        <w:t>Научный руководитель:</w:t>
      </w:r>
      <w:r>
        <w:rPr>
          <w:shd w:val="clear" w:color="auto" w:fill="FFFFFF"/>
          <w:lang w:val="ru-RU"/>
        </w:rPr>
        <w:t xml:space="preserve"> доктор юридических наук,</w:t>
      </w:r>
      <w:r>
        <w:rPr>
          <w:shd w:val="clear" w:color="auto" w:fill="FFFFFF"/>
        </w:rPr>
        <w:t> </w:t>
      </w:r>
      <w:r>
        <w:rPr>
          <w:rStyle w:val="ab"/>
          <w:bCs/>
          <w:shd w:val="clear" w:color="auto" w:fill="FFFFFF"/>
          <w:lang w:val="ru-RU"/>
        </w:rPr>
        <w:t>профессор</w:t>
      </w:r>
      <w:r>
        <w:rPr>
          <w:lang w:val="ru-RU"/>
        </w:rPr>
        <w:t xml:space="preserve"> Камышанский Владимир Павлович</w:t>
      </w:r>
    </w:p>
    <w:p w14:paraId="13CD0083" w14:textId="77777777" w:rsidR="001B6C3B" w:rsidRDefault="001B6C3B" w:rsidP="001B6C3B">
      <w:pPr>
        <w:pStyle w:val="Style3"/>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rPr>
          <w:rStyle w:val="FontStyle19"/>
          <w:b/>
          <w:i w:val="0"/>
          <w:iCs w:val="0"/>
          <w:caps/>
        </w:rPr>
      </w:pPr>
    </w:p>
    <w:p w14:paraId="3A995FDB" w14:textId="77777777" w:rsidR="001B6C3B" w:rsidRDefault="001B6C3B" w:rsidP="001B6C3B">
      <w:pPr>
        <w:pStyle w:val="a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ind w:firstLine="709"/>
        <w:jc w:val="both"/>
        <w:rPr>
          <w:sz w:val="24"/>
          <w:szCs w:val="24"/>
          <w:shd w:val="clear" w:color="auto" w:fill="FFFFFF"/>
        </w:rPr>
      </w:pPr>
    </w:p>
    <w:p w14:paraId="28FF2C3A" w14:textId="77777777" w:rsidR="001B6C3B" w:rsidRDefault="001B6C3B" w:rsidP="001B6C3B">
      <w:pPr>
        <w:pStyle w:val="a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ind w:firstLine="709"/>
        <w:jc w:val="both"/>
        <w:rPr>
          <w:rFonts w:ascii="Times New Roman" w:hAnsi="Times New Roman"/>
          <w:sz w:val="24"/>
          <w:szCs w:val="24"/>
          <w:shd w:val="clear" w:color="auto" w:fill="FFFFFF"/>
        </w:rPr>
      </w:pPr>
      <w:r>
        <w:rPr>
          <w:rFonts w:ascii="Times New Roman" w:hAnsi="Times New Roman"/>
          <w:sz w:val="24"/>
          <w:szCs w:val="24"/>
          <w:shd w:val="clear" w:color="auto" w:fill="FFFFFF"/>
        </w:rPr>
        <w:t>О НЕКОТОРЫХ АСПЕКТАХ РЕГИСТРАЦИОННЫХ СИСТЕМ ПРАВ НА НЕДВИЖИМОЕ ИМУЩЕСТВО И СДЕЛОК С НИМ</w:t>
      </w:r>
    </w:p>
    <w:p w14:paraId="6050747A" w14:textId="77777777" w:rsidR="001B6C3B" w:rsidRDefault="001B6C3B" w:rsidP="001B6C3B">
      <w:pPr>
        <w:pStyle w:val="HTML"/>
        <w:shd w:val="clear" w:color="auto" w:fill="F8F9FA"/>
        <w:ind w:firstLine="709"/>
        <w:rPr>
          <w:rFonts w:ascii="Times New Roman" w:hAnsi="Times New Roman" w:cs="Times New Roman"/>
          <w:sz w:val="24"/>
          <w:szCs w:val="24"/>
          <w:lang w:val="en-US"/>
        </w:rPr>
      </w:pPr>
      <w:r>
        <w:rPr>
          <w:rFonts w:ascii="Times New Roman" w:hAnsi="Times New Roman" w:cs="Times New Roman"/>
          <w:sz w:val="24"/>
          <w:szCs w:val="24"/>
          <w:lang w:val="en"/>
        </w:rPr>
        <w:t>ABOUT SOME ASPECTS OF REGISTRATION SYSTEMS OF REAL ESTATE RIGHTS AND TRANSACTIONS WITH IT</w:t>
      </w:r>
    </w:p>
    <w:p w14:paraId="09914A22" w14:textId="77777777" w:rsidR="001B6C3B" w:rsidRDefault="001B6C3B" w:rsidP="001B6C3B">
      <w:pPr>
        <w:pStyle w:val="Style3"/>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rPr>
          <w:b/>
          <w:iCs/>
          <w:caps/>
          <w:lang w:val="en-US"/>
        </w:rPr>
      </w:pPr>
    </w:p>
    <w:p w14:paraId="25D5BDB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i/>
          <w:sz w:val="24"/>
          <w:szCs w:val="24"/>
        </w:rPr>
        <w:t xml:space="preserve">Аннотация: </w:t>
      </w:r>
      <w:r>
        <w:rPr>
          <w:rFonts w:ascii="Times New Roman" w:hAnsi="Times New Roman" w:cs="Times New Roman"/>
          <w:sz w:val="24"/>
          <w:szCs w:val="24"/>
        </w:rPr>
        <w:t>в настоящей статье рассматриваются виды регистрационных систем прав на недвижимое имущество и сделок с ним, подробным образом, с опорой на практиктические ситуации, анализируются их плюсы и минусы. Автором также рассмотрена ситуация, при которой отсутствуют какие-либо реестры прав на недвижимость, а также предложено решение для развития и улучшения отечественной регистрационной системы.</w:t>
      </w:r>
    </w:p>
    <w:p w14:paraId="13DBD446" w14:textId="77777777" w:rsidR="001B6C3B" w:rsidRDefault="001B6C3B" w:rsidP="001B6C3B">
      <w:pPr>
        <w:pStyle w:val="Style3"/>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rPr>
          <w:bCs/>
        </w:rPr>
      </w:pPr>
      <w:r>
        <w:rPr>
          <w:bCs/>
          <w:i/>
        </w:rPr>
        <w:t xml:space="preserve">Ключевые слова: </w:t>
      </w:r>
      <w:r>
        <w:rPr>
          <w:bCs/>
        </w:rPr>
        <w:t>позитивная регистрационная система; негативная регистрационная система; ЕГРН; ипотека; купля-продажа.</w:t>
      </w:r>
    </w:p>
    <w:p w14:paraId="736B3D25" w14:textId="77777777" w:rsidR="001B6C3B" w:rsidRDefault="001B6C3B" w:rsidP="001B6C3B">
      <w:pPr>
        <w:pStyle w:val="Style3"/>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rPr>
          <w:lang w:val="en-US"/>
        </w:rPr>
      </w:pPr>
      <w:r>
        <w:rPr>
          <w:rStyle w:val="FontStyle19"/>
          <w:lang w:val="en-US"/>
        </w:rPr>
        <w:t xml:space="preserve">Аnnotation: </w:t>
      </w:r>
      <w:r>
        <w:rPr>
          <w:lang w:val="en"/>
        </w:rPr>
        <w:t>This article discusses the types of registration systems for rights to real estate and transactions with it, in a detailed manner, based on practical situations, analyzes their pros and cons. The author also considered a situation in which there are no any registers of rights to real estate, and also proposed a solution for the development and improvement of the registration system</w:t>
      </w:r>
    </w:p>
    <w:p w14:paraId="7415ABB9" w14:textId="77777777" w:rsidR="001B6C3B" w:rsidRPr="00430C1C" w:rsidRDefault="001B6C3B" w:rsidP="001B6C3B">
      <w:pPr>
        <w:pStyle w:val="Style3"/>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rPr>
          <w:rStyle w:val="FontStyle19"/>
          <w:i w:val="0"/>
          <w:iCs w:val="0"/>
          <w:lang w:val="en-US"/>
        </w:rPr>
      </w:pPr>
      <w:r>
        <w:rPr>
          <w:rStyle w:val="FontStyle19"/>
          <w:lang w:val="en-US"/>
        </w:rPr>
        <w:t xml:space="preserve">Keywords: </w:t>
      </w:r>
      <w:r>
        <w:rPr>
          <w:shd w:val="clear" w:color="auto" w:fill="F8F9FA"/>
          <w:lang w:val="en-US"/>
        </w:rPr>
        <w:t>positive registration system; negative registration system; USRN; mortgage; sale.</w:t>
      </w:r>
    </w:p>
    <w:p w14:paraId="7E69DF00" w14:textId="77777777" w:rsidR="001B6C3B" w:rsidRPr="00430C1C"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sz w:val="24"/>
          <w:szCs w:val="24"/>
          <w:shd w:val="clear" w:color="auto" w:fill="FFFFFF"/>
          <w:lang w:val="en-US"/>
        </w:rPr>
      </w:pPr>
    </w:p>
    <w:p w14:paraId="3E9CFA8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Считаем необходимым ответить на вопрос о соотношении записи в реестре и юридического основания записи – той сделки или того административного акта, который лежит в основании записи в ЕГРН (к примеру, договор купли-продажи, решение органа местного самоуправления о выделе земельного участка и т.д.). Так, необходимо прояснить, дает ли право собственности на недвижимое имущество сама по себе запись в реестре в том случае, если отпало основание, на основании которого она была внесена.</w:t>
      </w:r>
    </w:p>
    <w:p w14:paraId="274342A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Базовым казусом, который ярко обозначает данный вопрос, является следующая ситуация. Компания А, будучи собственником недвижимой вещи (здание или земельный участок), продает ее компании Б. Росреестр регистрирует право собственности на недвижимость. В дальнейшем, компания Б закладывает в банке приобретенное здание, регистрируется договор ипотеки, компания Б получает кредит.</w:t>
      </w:r>
    </w:p>
    <w:p w14:paraId="5A60594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shd w:val="clear" w:color="auto" w:fill="FFFFFF"/>
        </w:rPr>
        <w:lastRenderedPageBreak/>
        <w:t>По истечении небольшого промежутка времени, один из миноритарных акционеров компании А в судебном порядке успешно оспаривает договор купли-продажи – ту сделку, на основании которой было зарегистрировано право собственности компании Б на предмет сделки. Следует отметить, что в действиях самой компании А суд может усмотреть злоупотребление правом</w:t>
      </w:r>
      <w:r>
        <w:rPr>
          <w:rFonts w:ascii="Times New Roman" w:hAnsi="Times New Roman" w:cs="Times New Roman"/>
          <w:sz w:val="24"/>
          <w:szCs w:val="24"/>
        </w:rPr>
        <w:t>, которое сформулировано профессором В.П. Камышанским как предел субъективного гражданского права, рассчитаное на удержание поведения субъекта при осуществлении его субъективного права в четко ограничиваемых рамках</w:t>
      </w:r>
      <w:r>
        <w:rPr>
          <w:rStyle w:val="a7"/>
          <w:rFonts w:ascii="Times New Roman" w:hAnsi="Times New Roman" w:cs="Times New Roman"/>
          <w:sz w:val="24"/>
          <w:szCs w:val="24"/>
        </w:rPr>
        <w:footnoteReference w:id="363"/>
      </w:r>
      <w:r>
        <w:rPr>
          <w:rFonts w:ascii="Times New Roman" w:hAnsi="Times New Roman" w:cs="Times New Roman"/>
          <w:sz w:val="24"/>
          <w:szCs w:val="24"/>
        </w:rPr>
        <w:t>.</w:t>
      </w:r>
    </w:p>
    <w:p w14:paraId="3D4CFDF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Тем не менее, суд признает недействительной сделку между А и Б, применив реституцию – возврат сторон в то положение, которое существовало до сделки. В данном случае, для этого необходимо погасить запись о праве собственности компании Б (покупателя) и вернуть в ЕГРН запись о праве собственности компании А (продавца).</w:t>
      </w:r>
    </w:p>
    <w:p w14:paraId="4DB8918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Однако, к моменту удовлетворения исковых требований А, здание уже находится в залоге у третьего лица – банковской организации. Возникает вопрос о сохранности ипотеки и действительности залога как такового.</w:t>
      </w:r>
    </w:p>
    <w:p w14:paraId="3CB4A25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С одной стороны, ипотека была установлена уже тогда, когда сделка между А и Б еще не оспорена, а компания Б указана в ЕГРН как собственник недвижимого имущества. С другой стороны, в ст. 167 ГК РФ прямо указано, что недействительная сделка (даже оспоримая) – недействительна с момента ее совершения. </w:t>
      </w:r>
    </w:p>
    <w:p w14:paraId="78C5C94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Вопрос следующий: можно ли утверждать, что компания Б является собственником недвижимого имущества только постольку, поскольку запись об этом сделана в ЕГРН, или же для того, чтобы быть собственником недвижимости, необходимо также, чтобы данная запись была основана на действительном юридическом основании?</w:t>
      </w:r>
    </w:p>
    <w:p w14:paraId="56C8E1B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shd w:val="clear" w:color="auto" w:fill="FFFFFF"/>
        </w:rPr>
        <w:t>В том случае, если исходить из того, что право собственности действительно независимо от основания внесения записи в ЕГРН, то договор ипотеки будет также действителен. Если же утверждать, что одной записи в реестре недостаточно, то в данном случае, ипотека будет недействительна, поскольку компания Б на момент оформления залога недвижимого имущества не являлась его собственником. Следовательно, банк, который выдал кредит под залог недвижимости, окажется в положении, при котором ему в дальнейшем будет затруднительно вернуть сумму займа.</w:t>
      </w:r>
    </w:p>
    <w:p w14:paraId="7389349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Разные правопорядки по-разному отвечают на поставленный вопрос. Существует позитивная регистрационная система, которая придерживается первого ответа: если участник экономического оборота записан в ресстре как собственник недвижимого имущества, но запись основана на сделке, которая недействительна, то это не играет существенной роли, поскольку запись, сама по себе, уже порождает право</w:t>
      </w:r>
      <w:r>
        <w:rPr>
          <w:rStyle w:val="a7"/>
          <w:rFonts w:ascii="Times New Roman" w:hAnsi="Times New Roman" w:cs="Times New Roman"/>
          <w:sz w:val="24"/>
          <w:szCs w:val="24"/>
        </w:rPr>
        <w:footnoteReference w:id="364"/>
      </w:r>
      <w:r>
        <w:rPr>
          <w:rFonts w:ascii="Times New Roman" w:hAnsi="Times New Roman" w:cs="Times New Roman"/>
          <w:sz w:val="24"/>
          <w:szCs w:val="24"/>
        </w:rPr>
        <w:t xml:space="preserve">. </w:t>
      </w:r>
    </w:p>
    <w:p w14:paraId="71B2E39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Однако, даже в рамках позитивной регистрационной системы, компания А вправе потребовать возрата недвижимой вещи по иску из неосновательного обогащения. Но в данном случае, речь будет идти о передаче вещи от собственника к собственнику, в связи с чем ипотека будет сохранена, а фигура залогодержателя – защищена.</w:t>
      </w:r>
    </w:p>
    <w:p w14:paraId="76D1D8D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Существует также негативная регистрационная система, при которой запись в реестре недвижимого имущества дает право собственности только при условии, что она внесена на основании действительной сделки. В рассматриваемом случае, в рамах негативной регистрационной системы, право собственности у компании Б не возникает, поскольку запись о собственности внесена в реестр безосновательно. Таким образом, компания Б, не будучи собственником, заложила чужую вещь. И только если банк сможет в рамках судебного процесса доказать, что он не знал и не мог знать о том, что компания Б не являлась собственником недвижимого имущества, и будет признан добросовестным залогодержателем, </w:t>
      </w:r>
      <w:r>
        <w:rPr>
          <w:rFonts w:ascii="Times New Roman" w:hAnsi="Times New Roman" w:cs="Times New Roman"/>
          <w:sz w:val="24"/>
          <w:szCs w:val="24"/>
        </w:rPr>
        <w:lastRenderedPageBreak/>
        <w:t xml:space="preserve">то только в этом случае ипотека окажется сохранена даже после возврата вещи во владене изначального собственника.  </w:t>
      </w:r>
    </w:p>
    <w:p w14:paraId="6B77B65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Таким образом, глобальное различие между позитивной и негативной регистрационной системами состоит в том, что позитивная регистрационная система очень хороша для создания устойчивого экономического оборота. В первую очередь, покупателям и залогодержателям достаточно проверить, записан ли их контрагент в реестре недвижимого имущества как собственник земельного участка или здания. В том случае, если запись наличествует, можно смело идти на заключение сделки, поскольку достоверно известно, что в правопорядке с позитивной регистрационной системой запись порождает право.</w:t>
      </w:r>
    </w:p>
    <w:p w14:paraId="6A9B47E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Негативная регистрационная система в больше степени защищает собственника, поскольку исходит из того, что если собственник совершил недействительнную сделку, то право собственности на спорное имущество не перешло.</w:t>
      </w:r>
    </w:p>
    <w:p w14:paraId="62214A9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По нашему мнению, позитивная регистрационная система является более изящной, надежной для участников всего оборота, не создает для них рисков. Данная система существует в Германии, в Эстонии, в Турции, в Англии, а также в ряде иных стран. </w:t>
      </w:r>
    </w:p>
    <w:p w14:paraId="32378A7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свою очередь, негативная регистрационная система установлена в Испании, в Голландии, в Австрии и др. – то есть в странах, где уровень жизни не хуже того, который существует в перечисленных нами странах с позитивной регистрационной системой.</w:t>
      </w:r>
    </w:p>
    <w:p w14:paraId="17C83B5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Следует отметить, что правовая система РФ примкнула к странам с негативной регистрационной системой, о чем можно сделать вывод исходя из п. 2 ст. 8.1 ГК РФ, посвященной государственной регистрации прав на имущество. Так, в комментируемой статье указано, что до тех пор, пока в суде не доказано иное, собственником имущества является тот, кто записан в таком качестве в реестре прав на недвижимое имущество и сдлоек с ним. Таким образом, отечественный законодатель прямо устанавливает то, что в суде можно доказать недействительность записи в ЕГРН по той причине, что основание ее внесения недействительно</w:t>
      </w:r>
      <w:r>
        <w:rPr>
          <w:rStyle w:val="a7"/>
          <w:rFonts w:ascii="Times New Roman" w:hAnsi="Times New Roman" w:cs="Times New Roman"/>
          <w:sz w:val="24"/>
          <w:szCs w:val="24"/>
        </w:rPr>
        <w:footnoteReference w:id="365"/>
      </w:r>
      <w:r>
        <w:rPr>
          <w:rFonts w:ascii="Times New Roman" w:hAnsi="Times New Roman" w:cs="Times New Roman"/>
          <w:sz w:val="24"/>
          <w:szCs w:val="24"/>
        </w:rPr>
        <w:t xml:space="preserve">. </w:t>
      </w:r>
    </w:p>
    <w:p w14:paraId="779879D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Кроме того, в ст. 167 ГК РФ указано, что недействительная сделка не порождает тех последствий, на которые она была направлена, за исключением реституции (восстановление, возврат сторон сделки в изначальное положение).</w:t>
      </w:r>
    </w:p>
    <w:p w14:paraId="2F8686F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Негативная регистрационная система в РФ, на сегодняшний день порождает то, что при совершении сделок обычно называют </w:t>
      </w:r>
      <w:r>
        <w:rPr>
          <w:rFonts w:ascii="Times New Roman" w:hAnsi="Times New Roman" w:cs="Times New Roman"/>
          <w:sz w:val="24"/>
          <w:szCs w:val="24"/>
          <w:lang w:val="en-US"/>
        </w:rPr>
        <w:t>due</w:t>
      </w:r>
      <w:r w:rsidRPr="00430C1C">
        <w:rPr>
          <w:rFonts w:ascii="Times New Roman" w:hAnsi="Times New Roman" w:cs="Times New Roman"/>
          <w:sz w:val="24"/>
          <w:szCs w:val="24"/>
        </w:rPr>
        <w:t xml:space="preserve"> </w:t>
      </w:r>
      <w:r>
        <w:rPr>
          <w:rFonts w:ascii="Times New Roman" w:hAnsi="Times New Roman" w:cs="Times New Roman"/>
          <w:sz w:val="24"/>
          <w:szCs w:val="24"/>
          <w:lang w:val="en-US"/>
        </w:rPr>
        <w:t>diligence</w:t>
      </w:r>
      <w:r>
        <w:rPr>
          <w:rFonts w:ascii="Times New Roman" w:hAnsi="Times New Roman" w:cs="Times New Roman"/>
          <w:sz w:val="24"/>
          <w:szCs w:val="24"/>
        </w:rPr>
        <w:t xml:space="preserve"> – проверка титулов продавца, а именно той цепочки сделок/юридических фактов, на основании которых возникло право собственности у того, кто передает имущество. Делается это при совершении сколько-нибудь серьезной сделки, связанной с установлением обременений или переходом права собственности на недвижимость, поскольку в случае, если после заключения и исполнения договора, сделка в дальнейшем будет оспорена, следует будет доказать соблюдение стандарта осмотрительности для того, чтобы вас признали добросовестным участником оборота (покупателем, залогодержателем и т.д.).</w:t>
      </w:r>
    </w:p>
    <w:p w14:paraId="56F4A08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Однако, возникает закономерный вопрос: для чего вводятся реестры прав на недвижимое имущество, если не для того, чтобы участники сделки доверяли им и полагались только на запись в реестре, тем самым минимизируя свои издержки при совершении сделок с недвижимостью? </w:t>
      </w:r>
    </w:p>
    <w:p w14:paraId="01C00D8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старых европейских правопорядках (Швейцария, Голландия, Австрия и т.д.) законодатели ввели в оборот недвижимости элемент, который позволяет укреплять те сделки, на которых покоится реестр. Если сделка легко «разрушается», признается недействительной, то реестр недостоверен. Однако, если правопорядок устроен таким образом, что те сделки, на основании которых покоится реестр, являются «крепкими, неразрушаемыми», то деление с точки зрения позитивной или негативной регистрационной системы не имее значение: участники оборота точно знают, что если сделка почти никогда не будет оспорена, то они точно также будут доверять правоустанавливающей записи в реестре.</w:t>
      </w:r>
    </w:p>
    <w:p w14:paraId="3FD2BDE5" w14:textId="0C9D7C26"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В связи с указанным, правопорядки Западной юрисдикции вводят в качестве элемента, который защищает оборот недвижимости, обязательную нотариальную форму сделки с недвижимым имуществом. В любой западноевропейской юрисдикции, в которой существует реестр прав на недвижимое имущество, существует одновременно и обязательная нотариальная форма сделок с недвижимым имуществом, поскольку нотариальные сделки, как правило, не оспа</w:t>
      </w:r>
      <w:r w:rsidR="0074411C">
        <w:rPr>
          <w:rFonts w:ascii="Times New Roman" w:hAnsi="Times New Roman" w:cs="Times New Roman"/>
          <w:sz w:val="24"/>
          <w:szCs w:val="24"/>
        </w:rPr>
        <w:t>р</w:t>
      </w:r>
      <w:r>
        <w:rPr>
          <w:rFonts w:ascii="Times New Roman" w:hAnsi="Times New Roman" w:cs="Times New Roman"/>
          <w:sz w:val="24"/>
          <w:szCs w:val="24"/>
        </w:rPr>
        <w:t xml:space="preserve">иваются. </w:t>
      </w:r>
    </w:p>
    <w:p w14:paraId="12CBBE3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Статистика аннулирования нотариальных сделок, даже в РФ, ограничивается десятками, единицами сделок в год. Сделки в простой письменной форме оспариваются гораздо чаще.</w:t>
      </w:r>
    </w:p>
    <w:p w14:paraId="2D4DA53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Поскольку в РФ, к сожалению, отказались от обязательной нотариальной формы сделок с недвижимостью, это привело к тому, что в российских судах ежегодно оспариваются десятки тысяч сделок с недвижимым имуществом. Указанное значит, что те сделки, на основании которых покоится ЕГРН, являются ненадежными, легко оспариваются и, соответственно, участники оборота, зная это, стремятся исключить для себя риски оспаривания посредством проверки контрагентов. </w:t>
      </w:r>
    </w:p>
    <w:p w14:paraId="16C80946" w14:textId="10B06F30"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Таким образом, получается, что в РФ нет необходимости в существовании реестра прав на недвижимое имущество и сделок с ним, поскольку он не выполняет свою главную функцию: стороны сделки узнают титул своего контрагента не из ЕГРН, а из сделки, которую он совершил, для чего нанимают юристов, которые проводят порой очень дорогостоящую проверку титула контрагента. </w:t>
      </w:r>
    </w:p>
    <w:p w14:paraId="13187130" w14:textId="5BA62C73"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Необходимо указать, что в США, одной из самых сильных экономик мира, отсутст</w:t>
      </w:r>
      <w:r w:rsidR="0074411C">
        <w:rPr>
          <w:rFonts w:ascii="Times New Roman" w:hAnsi="Times New Roman" w:cs="Times New Roman"/>
          <w:sz w:val="24"/>
          <w:szCs w:val="24"/>
        </w:rPr>
        <w:t>в</w:t>
      </w:r>
      <w:r>
        <w:rPr>
          <w:rFonts w:ascii="Times New Roman" w:hAnsi="Times New Roman" w:cs="Times New Roman"/>
          <w:sz w:val="24"/>
          <w:szCs w:val="24"/>
        </w:rPr>
        <w:t xml:space="preserve">ует полноценная регистрационная система прав на недвижимость. Так, в большинстве штатов недвижимость обращается по старым, общим правилам английского права – </w:t>
      </w:r>
      <w:r>
        <w:rPr>
          <w:rFonts w:ascii="Times New Roman" w:hAnsi="Times New Roman" w:cs="Times New Roman"/>
          <w:sz w:val="24"/>
          <w:szCs w:val="24"/>
          <w:lang w:val="en-US"/>
        </w:rPr>
        <w:t>Common</w:t>
      </w:r>
      <w:r w:rsidRPr="00430C1C">
        <w:rPr>
          <w:rFonts w:ascii="Times New Roman" w:hAnsi="Times New Roman" w:cs="Times New Roman"/>
          <w:sz w:val="24"/>
          <w:szCs w:val="24"/>
        </w:rPr>
        <w:t xml:space="preserve"> </w:t>
      </w:r>
      <w:r>
        <w:rPr>
          <w:rFonts w:ascii="Times New Roman" w:hAnsi="Times New Roman" w:cs="Times New Roman"/>
          <w:sz w:val="24"/>
          <w:szCs w:val="24"/>
          <w:lang w:val="en-US"/>
        </w:rPr>
        <w:t>Law</w:t>
      </w:r>
      <w:r>
        <w:rPr>
          <w:rFonts w:ascii="Times New Roman" w:hAnsi="Times New Roman" w:cs="Times New Roman"/>
          <w:sz w:val="24"/>
          <w:szCs w:val="24"/>
        </w:rPr>
        <w:t xml:space="preserve">, то есть путем простой сделки. Соответственно, для данных штатов характерно такое явление как </w:t>
      </w:r>
      <w:r>
        <w:rPr>
          <w:rFonts w:ascii="Times New Roman" w:hAnsi="Times New Roman" w:cs="Times New Roman"/>
          <w:sz w:val="24"/>
          <w:szCs w:val="24"/>
          <w:lang w:val="en-US"/>
        </w:rPr>
        <w:t>due</w:t>
      </w:r>
      <w:r w:rsidRPr="00430C1C">
        <w:rPr>
          <w:rFonts w:ascii="Times New Roman" w:hAnsi="Times New Roman" w:cs="Times New Roman"/>
          <w:sz w:val="24"/>
          <w:szCs w:val="24"/>
        </w:rPr>
        <w:t xml:space="preserve"> </w:t>
      </w:r>
      <w:r>
        <w:rPr>
          <w:rFonts w:ascii="Times New Roman" w:hAnsi="Times New Roman" w:cs="Times New Roman"/>
          <w:sz w:val="24"/>
          <w:szCs w:val="24"/>
          <w:lang w:val="en-US"/>
        </w:rPr>
        <w:t>diligence</w:t>
      </w:r>
      <w:r>
        <w:rPr>
          <w:rFonts w:ascii="Times New Roman" w:hAnsi="Times New Roman" w:cs="Times New Roman"/>
          <w:sz w:val="24"/>
          <w:szCs w:val="24"/>
        </w:rPr>
        <w:t xml:space="preserve"> – вовлечение юриста для проверки титула контрагента перед заключением сделки.</w:t>
      </w:r>
    </w:p>
    <w:p w14:paraId="2BBAFF1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К примеру, для того, чтобы приобрести недвижимость в штате Северная Дакота, необходимо нанять юриста, который проверит те документы, по которым продавец недвижимого имущества стал собственником. Соответственно, если юрист все проверит, но у покупателя есть сомнения в том, что сделку в дальнейшем не оспорят, возможно приобрести страховку титула, чтобы застраховать риски признания сделки недействительной.</w:t>
      </w:r>
    </w:p>
    <w:p w14:paraId="3FD958E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США установлена иная модель оборота недвижимости: когда отсутсвуют нотариусы и реестры прав на недвижимое имущество, однако существуют юристы, которые осуществляют проверку титула а также есть множество страховых компаний, которые страхуют титул.</w:t>
      </w:r>
    </w:p>
    <w:p w14:paraId="10350C5C" w14:textId="11041178"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Пар</w:t>
      </w:r>
      <w:r w:rsidR="0074411C">
        <w:rPr>
          <w:rFonts w:ascii="Times New Roman" w:hAnsi="Times New Roman" w:cs="Times New Roman"/>
          <w:sz w:val="24"/>
          <w:szCs w:val="24"/>
        </w:rPr>
        <w:t>а</w:t>
      </w:r>
      <w:r>
        <w:rPr>
          <w:rFonts w:ascii="Times New Roman" w:hAnsi="Times New Roman" w:cs="Times New Roman"/>
          <w:sz w:val="24"/>
          <w:szCs w:val="24"/>
        </w:rPr>
        <w:t>доксально, но в РФ, юристы также занимаются проверкой титула контрагентов по договорам, связанных с правами на недвижимое имущество, а также у нас, в настоящее время, бурным цветом расцветает страхование титула. При этом, есть государственный регистратор и реестр прав на недвижимое имущество и сделок с ним. Таким образом, в сфере оборота прав на недвижимость, сейчас в Российской Федерации «юридический винегрет».</w:t>
      </w:r>
    </w:p>
    <w:p w14:paraId="5E27E8D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связи с тем, что ЕГРН не выполняет одну из своих главных функций, по нашему мнению, необходимо установление обязательной нотариальной формы совершения сделок с недвижимостью, поскольку нотариально заверенную сделку значительно сложнее оспорить и, следовательно, записи о правах собственности на недвижимости, </w:t>
      </w:r>
      <w:r>
        <w:rPr>
          <w:rFonts w:ascii="Times New Roman" w:hAnsi="Times New Roman" w:cs="Times New Roman"/>
          <w:sz w:val="24"/>
          <w:szCs w:val="24"/>
          <w:lang w:val="en-US"/>
        </w:rPr>
        <w:t>de</w:t>
      </w:r>
      <w:r w:rsidRPr="00430C1C">
        <w:rPr>
          <w:rFonts w:ascii="Times New Roman" w:hAnsi="Times New Roman" w:cs="Times New Roman"/>
          <w:sz w:val="24"/>
          <w:szCs w:val="24"/>
        </w:rPr>
        <w:t xml:space="preserve"> </w:t>
      </w:r>
      <w:r>
        <w:rPr>
          <w:rFonts w:ascii="Times New Roman" w:hAnsi="Times New Roman" w:cs="Times New Roman"/>
          <w:sz w:val="24"/>
          <w:szCs w:val="24"/>
          <w:lang w:val="en-US"/>
        </w:rPr>
        <w:t>facto</w:t>
      </w:r>
      <w:r>
        <w:rPr>
          <w:rFonts w:ascii="Times New Roman" w:hAnsi="Times New Roman" w:cs="Times New Roman"/>
          <w:sz w:val="24"/>
          <w:szCs w:val="24"/>
        </w:rPr>
        <w:t>, становятся «неразрушимыми». Указанное означает, что контрагент, который приобретает право собственности на недвижимый объект, не будет тратить время и деньги на изучение истории этого имущества, а экономический оборот станет в целом более устойчивым и надежным.</w:t>
      </w:r>
    </w:p>
    <w:p w14:paraId="3C1D05A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sz w:val="24"/>
          <w:szCs w:val="24"/>
        </w:rPr>
      </w:pPr>
    </w:p>
    <w:p w14:paraId="406FC22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sz w:val="24"/>
          <w:szCs w:val="24"/>
        </w:rPr>
      </w:pPr>
      <w:r>
        <w:rPr>
          <w:rFonts w:ascii="Times New Roman" w:hAnsi="Times New Roman" w:cs="Times New Roman"/>
          <w:b/>
          <w:sz w:val="24"/>
          <w:szCs w:val="24"/>
        </w:rPr>
        <w:t>Библиографический список</w:t>
      </w:r>
    </w:p>
    <w:p w14:paraId="1A78E34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sz w:val="24"/>
          <w:szCs w:val="24"/>
        </w:rPr>
      </w:pPr>
    </w:p>
    <w:p w14:paraId="2AB41E1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i/>
          <w:sz w:val="24"/>
          <w:szCs w:val="24"/>
        </w:rPr>
        <w:t xml:space="preserve"> Бевзенко Р.С.</w:t>
      </w:r>
      <w:r>
        <w:rPr>
          <w:rFonts w:ascii="Times New Roman" w:hAnsi="Times New Roman" w:cs="Times New Roman"/>
          <w:sz w:val="24"/>
          <w:szCs w:val="24"/>
        </w:rPr>
        <w:t xml:space="preserve"> Принципиальные положения статьи 8.1 Гражданского кодекса РФ о государственной регистрации прав на имущество - Журнал «Закон», № 4, 2015. – 37 с.</w:t>
      </w:r>
    </w:p>
    <w:p w14:paraId="5AF2550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2.</w:t>
      </w:r>
      <w:r>
        <w:rPr>
          <w:rFonts w:ascii="Times New Roman" w:hAnsi="Times New Roman" w:cs="Times New Roman"/>
          <w:i/>
          <w:sz w:val="24"/>
          <w:szCs w:val="24"/>
        </w:rPr>
        <w:t xml:space="preserve"> Камышанский В.П., Ветер Н.Ю.</w:t>
      </w:r>
      <w:r>
        <w:rPr>
          <w:rFonts w:ascii="Times New Roman" w:hAnsi="Times New Roman" w:cs="Times New Roman"/>
          <w:sz w:val="24"/>
          <w:szCs w:val="24"/>
        </w:rPr>
        <w:t xml:space="preserve"> Злоупотребление правом: понятие, признаки, общая характеристика. – Научный журнал КубГАУ, №112(08), 2015. – 20 с.</w:t>
      </w:r>
    </w:p>
    <w:p w14:paraId="1DB3F79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Style w:val="ac"/>
          <w:b w:val="0"/>
          <w:bCs w:val="0"/>
        </w:rPr>
      </w:pPr>
      <w:r>
        <w:rPr>
          <w:rFonts w:ascii="Times New Roman" w:hAnsi="Times New Roman" w:cs="Times New Roman"/>
          <w:sz w:val="24"/>
          <w:szCs w:val="24"/>
        </w:rPr>
        <w:t xml:space="preserve">3. </w:t>
      </w:r>
      <w:r>
        <w:rPr>
          <w:rFonts w:ascii="Times New Roman" w:hAnsi="Times New Roman" w:cs="Times New Roman"/>
          <w:i/>
          <w:sz w:val="24"/>
          <w:szCs w:val="24"/>
        </w:rPr>
        <w:t>Масленникова Л. В.</w:t>
      </w:r>
      <w:r>
        <w:rPr>
          <w:rFonts w:ascii="Times New Roman" w:hAnsi="Times New Roman" w:cs="Times New Roman"/>
          <w:sz w:val="24"/>
          <w:szCs w:val="24"/>
        </w:rPr>
        <w:t xml:space="preserve"> Жилищное право Российской Федерации: учебное пособие. – Краснодар: КубГАУ, 2016. – 34 с.</w:t>
      </w:r>
    </w:p>
    <w:p w14:paraId="5A9EEE3E" w14:textId="6D3B93F3"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21A7C678" w14:textId="3C75A05E"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07960786" w14:textId="21AB5D33"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462325E0" w14:textId="4D70CCA1"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7B67168C" w14:textId="3CD905CD"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6CC05692" w14:textId="29C61BB9"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30224546" w14:textId="2DC869B2"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7C8B8E47" w14:textId="10DE37FA"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381620CD" w14:textId="43F52E0A"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2FF4201B" w14:textId="438089EB"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3537DB9B" w14:textId="3AF09DFA"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3BE96367" w14:textId="03972942"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59167D5A" w14:textId="4ED3BE43"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2C36DEA4" w14:textId="50080C4C"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5FCCADD4" w14:textId="4A357F46"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0160716E" w14:textId="6BEC49FF"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62DFAEF3" w14:textId="3A479AA3"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68042A71" w14:textId="02DD18FB"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7714062F" w14:textId="563E3156"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2AF78F2E" w14:textId="763C9081"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0C8098EE" w14:textId="3C77A3E0"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54D691CE" w14:textId="46A465F9"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2BE8EF01" w14:textId="2225C245"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1D9AA0CB" w14:textId="50174969"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28682DCB" w14:textId="3FB186C2"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188B9B4B" w14:textId="3ED1456B"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7D60E40C" w14:textId="091999D2"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362ED1B3" w14:textId="3D2F93A6"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6540160D" w14:textId="669AED40"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608CAC1B" w14:textId="0FB36B51"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7128BE4A" w14:textId="4319221B"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363E3E26" w14:textId="0CE31791"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7F0BCE65" w14:textId="02F9E5CB"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47F13BD7" w14:textId="0C918F90"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473D335F" w14:textId="11E895DC"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22C9E44D" w14:textId="36482D79"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0A054A16" w14:textId="07F7DA47"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4A7D96AE" w14:textId="4F0A7697"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5F744F7A" w14:textId="0C19E63F"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58A2BA14" w14:textId="75C97E22"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4DF8DBA2" w14:textId="5F0EA44D"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4FC1FEA1" w14:textId="60524C77"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504C533C" w14:textId="1B22151E"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0590DE18" w14:textId="21A4E90E"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4E8D899D" w14:textId="26E52979"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4074CDD7" w14:textId="5C098480"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742D02B4" w14:textId="7DCDBC48"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58BD10F6" w14:textId="6840A27A"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12A61EDB" w14:textId="09FA66B1"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66425171" w14:textId="193B3E49"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10D12F05" w14:textId="440584A5"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22BE7FC4" w14:textId="0138432C"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66758E9A" w14:textId="77777777" w:rsidR="0074411C" w:rsidRDefault="0074411C"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rPr>
      </w:pPr>
    </w:p>
    <w:p w14:paraId="1E26A17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536"/>
        <w:jc w:val="both"/>
        <w:rPr>
          <w:rFonts w:ascii="Times New Roman" w:hAnsi="Times New Roman" w:cs="Times New Roman"/>
          <w:b/>
          <w:sz w:val="24"/>
          <w:szCs w:val="24"/>
        </w:rPr>
      </w:pPr>
      <w:r>
        <w:rPr>
          <w:rFonts w:ascii="Times New Roman" w:hAnsi="Times New Roman" w:cs="Times New Roman"/>
          <w:b/>
          <w:sz w:val="24"/>
          <w:szCs w:val="24"/>
        </w:rPr>
        <w:lastRenderedPageBreak/>
        <w:t>УДК 347.121.2</w:t>
      </w:r>
    </w:p>
    <w:p w14:paraId="4B0DC72C" w14:textId="77777777" w:rsidR="001B6C3B" w:rsidRPr="0074411C" w:rsidRDefault="001B6C3B" w:rsidP="0051775D">
      <w:pPr>
        <w:spacing w:after="0" w:line="240" w:lineRule="auto"/>
        <w:ind w:left="4536"/>
        <w:jc w:val="both"/>
        <w:rPr>
          <w:rFonts w:ascii="Times New Roman" w:hAnsi="Times New Roman" w:cs="Times New Roman"/>
          <w:b/>
          <w:sz w:val="24"/>
          <w:szCs w:val="24"/>
        </w:rPr>
      </w:pPr>
      <w:r w:rsidRPr="0074411C">
        <w:rPr>
          <w:rFonts w:ascii="Times New Roman" w:hAnsi="Times New Roman" w:cs="Times New Roman"/>
          <w:b/>
          <w:sz w:val="24"/>
          <w:szCs w:val="24"/>
        </w:rPr>
        <w:t>Царева Екатерина Дмитриевна</w:t>
      </w:r>
    </w:p>
    <w:p w14:paraId="6A9EB481" w14:textId="77777777" w:rsidR="001B6C3B" w:rsidRDefault="001B6C3B" w:rsidP="0051775D">
      <w:pPr>
        <w:spacing w:after="0" w:line="240" w:lineRule="auto"/>
        <w:ind w:left="4536"/>
        <w:jc w:val="both"/>
        <w:rPr>
          <w:rFonts w:ascii="Times New Roman" w:hAnsi="Times New Roman" w:cs="Times New Roman"/>
          <w:sz w:val="24"/>
          <w:szCs w:val="24"/>
        </w:rPr>
      </w:pPr>
      <w:r>
        <w:rPr>
          <w:rFonts w:ascii="Times New Roman" w:hAnsi="Times New Roman" w:cs="Times New Roman"/>
          <w:sz w:val="24"/>
          <w:szCs w:val="24"/>
          <w:lang w:val="en-US"/>
        </w:rPr>
        <w:t>Tsareva</w:t>
      </w:r>
      <w:r w:rsidRPr="00430C1C">
        <w:rPr>
          <w:rFonts w:ascii="Times New Roman" w:hAnsi="Times New Roman" w:cs="Times New Roman"/>
          <w:sz w:val="24"/>
          <w:szCs w:val="24"/>
        </w:rPr>
        <w:t xml:space="preserve"> </w:t>
      </w:r>
      <w:r>
        <w:rPr>
          <w:rFonts w:ascii="Times New Roman" w:hAnsi="Times New Roman" w:cs="Times New Roman"/>
          <w:sz w:val="24"/>
          <w:szCs w:val="24"/>
          <w:lang w:val="en-US"/>
        </w:rPr>
        <w:t>Ekaterina</w:t>
      </w:r>
      <w:r w:rsidRPr="00430C1C">
        <w:rPr>
          <w:rFonts w:ascii="Times New Roman" w:hAnsi="Times New Roman" w:cs="Times New Roman"/>
          <w:sz w:val="24"/>
          <w:szCs w:val="24"/>
        </w:rPr>
        <w:t xml:space="preserve"> </w:t>
      </w:r>
      <w:r>
        <w:rPr>
          <w:rFonts w:ascii="Times New Roman" w:hAnsi="Times New Roman" w:cs="Times New Roman"/>
          <w:sz w:val="24"/>
          <w:szCs w:val="24"/>
          <w:lang w:val="en-US"/>
        </w:rPr>
        <w:t>Dmitrievna</w:t>
      </w:r>
    </w:p>
    <w:p w14:paraId="657FAAAD" w14:textId="77777777" w:rsidR="001B6C3B" w:rsidRDefault="001B6C3B" w:rsidP="0051775D">
      <w:pPr>
        <w:pStyle w:val="aa"/>
        <w:spacing w:before="0" w:beforeAutospacing="0" w:after="0" w:afterAutospacing="0"/>
        <w:ind w:left="4536"/>
        <w:jc w:val="both"/>
      </w:pPr>
      <w:r>
        <w:t xml:space="preserve">Бакалавр Федеральное государственное бюджетное </w:t>
      </w:r>
    </w:p>
    <w:p w14:paraId="6DC3ABAD" w14:textId="77777777" w:rsidR="001B6C3B" w:rsidRDefault="001B6C3B" w:rsidP="0051775D">
      <w:pPr>
        <w:pStyle w:val="aa"/>
        <w:spacing w:before="0" w:beforeAutospacing="0" w:after="0" w:afterAutospacing="0"/>
        <w:ind w:left="4536"/>
        <w:jc w:val="both"/>
      </w:pPr>
      <w:r>
        <w:t xml:space="preserve">образовательное учреждение высшего образования </w:t>
      </w:r>
    </w:p>
    <w:p w14:paraId="069DFD38" w14:textId="77777777" w:rsidR="001B6C3B" w:rsidRDefault="001B6C3B" w:rsidP="0051775D">
      <w:pPr>
        <w:pStyle w:val="aa"/>
        <w:spacing w:before="0" w:beforeAutospacing="0" w:after="0" w:afterAutospacing="0"/>
        <w:ind w:left="4536"/>
        <w:jc w:val="both"/>
      </w:pPr>
      <w:r>
        <w:t xml:space="preserve"> «Кубанский государственный аграрный университет</w:t>
      </w:r>
    </w:p>
    <w:p w14:paraId="7607FA13" w14:textId="77777777" w:rsidR="001B6C3B" w:rsidRDefault="001B6C3B" w:rsidP="0051775D">
      <w:pPr>
        <w:pStyle w:val="aa"/>
        <w:spacing w:before="0" w:beforeAutospacing="0" w:after="0" w:afterAutospacing="0"/>
        <w:ind w:left="4536"/>
        <w:jc w:val="both"/>
      </w:pPr>
      <w:r>
        <w:t>имени И.Т. Трубилина»</w:t>
      </w:r>
    </w:p>
    <w:p w14:paraId="2B11959A" w14:textId="77777777" w:rsidR="001B6C3B" w:rsidRDefault="001B6C3B" w:rsidP="0051775D">
      <w:pPr>
        <w:pStyle w:val="aa"/>
        <w:spacing w:before="0" w:beforeAutospacing="0" w:after="0" w:afterAutospacing="0"/>
        <w:ind w:left="4536"/>
        <w:jc w:val="both"/>
        <w:rPr>
          <w:lang w:val="en-US"/>
        </w:rPr>
      </w:pPr>
      <w:r>
        <w:rPr>
          <w:lang w:val="en-US"/>
        </w:rPr>
        <w:t xml:space="preserve">Federal State Budgetary Educational Institution </w:t>
      </w:r>
    </w:p>
    <w:p w14:paraId="5CA50198" w14:textId="77777777" w:rsidR="001B6C3B" w:rsidRDefault="001B6C3B" w:rsidP="0051775D">
      <w:pPr>
        <w:pStyle w:val="aa"/>
        <w:spacing w:before="0" w:beforeAutospacing="0" w:after="0" w:afterAutospacing="0"/>
        <w:ind w:left="4536"/>
        <w:jc w:val="both"/>
        <w:rPr>
          <w:lang w:val="en-US"/>
        </w:rPr>
      </w:pPr>
      <w:r>
        <w:rPr>
          <w:lang w:val="en-US"/>
        </w:rPr>
        <w:t>of Higher Education</w:t>
      </w:r>
    </w:p>
    <w:p w14:paraId="413B1D74" w14:textId="77777777" w:rsidR="001B6C3B" w:rsidRDefault="001B6C3B" w:rsidP="0051775D">
      <w:pPr>
        <w:pStyle w:val="aa"/>
        <w:spacing w:before="0" w:beforeAutospacing="0" w:after="0" w:afterAutospacing="0"/>
        <w:ind w:left="4536"/>
        <w:jc w:val="both"/>
        <w:rPr>
          <w:lang w:val="en-US"/>
        </w:rPr>
      </w:pPr>
      <w:r>
        <w:rPr>
          <w:lang w:val="en-US"/>
        </w:rPr>
        <w:t xml:space="preserve"> “Kuban State Agrarian University named </w:t>
      </w:r>
    </w:p>
    <w:p w14:paraId="13E5C0F0" w14:textId="77777777" w:rsidR="001B6C3B" w:rsidRDefault="001B6C3B" w:rsidP="0051775D">
      <w:pPr>
        <w:pStyle w:val="aa"/>
        <w:spacing w:before="0" w:beforeAutospacing="0" w:after="0" w:afterAutospacing="0"/>
        <w:ind w:left="4536"/>
        <w:jc w:val="both"/>
        <w:rPr>
          <w:lang w:val="en-US"/>
        </w:rPr>
      </w:pPr>
      <w:r>
        <w:rPr>
          <w:lang w:val="en-US"/>
        </w:rPr>
        <w:t>after I.T. Trubilin”</w:t>
      </w:r>
    </w:p>
    <w:p w14:paraId="702769D6" w14:textId="77777777" w:rsidR="001B6C3B" w:rsidRDefault="001B6C3B" w:rsidP="0051775D">
      <w:pPr>
        <w:pStyle w:val="aa"/>
        <w:spacing w:before="0" w:beforeAutospacing="0" w:after="0" w:afterAutospacing="0"/>
        <w:ind w:left="4536"/>
        <w:jc w:val="both"/>
      </w:pPr>
      <w:r>
        <w:t>Российская Федерация, г. Краснодар</w:t>
      </w:r>
    </w:p>
    <w:p w14:paraId="33142EDA" w14:textId="77777777" w:rsidR="001B6C3B" w:rsidRDefault="001B6C3B" w:rsidP="0051775D">
      <w:pPr>
        <w:pStyle w:val="aa"/>
        <w:spacing w:before="0" w:beforeAutospacing="0" w:after="0" w:afterAutospacing="0"/>
        <w:ind w:left="4536"/>
        <w:jc w:val="both"/>
      </w:pPr>
      <w:r>
        <w:rPr>
          <w:lang w:val="en-US"/>
        </w:rPr>
        <w:t>Russian</w:t>
      </w:r>
      <w:r w:rsidRPr="00430C1C">
        <w:t xml:space="preserve"> </w:t>
      </w:r>
      <w:r>
        <w:rPr>
          <w:lang w:val="en-US"/>
        </w:rPr>
        <w:t>Federation</w:t>
      </w:r>
      <w:r>
        <w:t xml:space="preserve">, </w:t>
      </w:r>
      <w:r>
        <w:rPr>
          <w:lang w:val="en-US"/>
        </w:rPr>
        <w:t>Krasnodar</w:t>
      </w:r>
    </w:p>
    <w:p w14:paraId="285641A1" w14:textId="77777777" w:rsidR="001B6C3B" w:rsidRDefault="001B6C3B" w:rsidP="0051775D">
      <w:pPr>
        <w:pStyle w:val="aa"/>
        <w:spacing w:before="0" w:beforeAutospacing="0" w:after="0" w:afterAutospacing="0"/>
        <w:ind w:left="4536"/>
        <w:jc w:val="both"/>
      </w:pPr>
      <w:r>
        <w:rPr>
          <w:lang w:val="en-US"/>
        </w:rPr>
        <w:t>Ekaterina</w:t>
      </w:r>
      <w:r>
        <w:t>_1820@</w:t>
      </w:r>
      <w:r>
        <w:rPr>
          <w:lang w:val="en-US"/>
        </w:rPr>
        <w:t>mail</w:t>
      </w:r>
      <w:r>
        <w:t>.ru</w:t>
      </w:r>
    </w:p>
    <w:p w14:paraId="10208E90" w14:textId="77777777" w:rsidR="001B6C3B" w:rsidRDefault="001B6C3B" w:rsidP="0051775D">
      <w:pPr>
        <w:spacing w:after="0" w:line="240" w:lineRule="auto"/>
        <w:ind w:left="4536"/>
        <w:jc w:val="both"/>
        <w:rPr>
          <w:rFonts w:ascii="Times New Roman" w:hAnsi="Times New Roman" w:cs="Times New Roman"/>
          <w:sz w:val="24"/>
          <w:szCs w:val="24"/>
        </w:rPr>
      </w:pPr>
      <w:r>
        <w:rPr>
          <w:rFonts w:ascii="Times New Roman" w:hAnsi="Times New Roman" w:cs="Times New Roman"/>
          <w:sz w:val="24"/>
          <w:szCs w:val="24"/>
        </w:rPr>
        <w:t>Кончаков Александр Борисович</w:t>
      </w:r>
    </w:p>
    <w:p w14:paraId="4C09F251" w14:textId="77777777" w:rsidR="001B6C3B" w:rsidRDefault="001B6C3B" w:rsidP="0051775D">
      <w:pPr>
        <w:spacing w:after="0" w:line="240" w:lineRule="auto"/>
        <w:ind w:left="4536"/>
        <w:jc w:val="both"/>
        <w:rPr>
          <w:rFonts w:ascii="Times New Roman" w:hAnsi="Times New Roman" w:cs="Times New Roman"/>
          <w:sz w:val="24"/>
          <w:szCs w:val="24"/>
        </w:rPr>
      </w:pPr>
      <w:r>
        <w:rPr>
          <w:rFonts w:ascii="Times New Roman" w:hAnsi="Times New Roman" w:cs="Times New Roman"/>
          <w:sz w:val="24"/>
          <w:szCs w:val="24"/>
        </w:rPr>
        <w:t>Преподаватель кафедры гражданского права</w:t>
      </w:r>
    </w:p>
    <w:p w14:paraId="34A1FC9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b/>
          <w:sz w:val="24"/>
          <w:szCs w:val="24"/>
        </w:rPr>
      </w:pPr>
    </w:p>
    <w:p w14:paraId="4565288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ind w:firstLine="709"/>
        <w:jc w:val="both"/>
        <w:rPr>
          <w:rFonts w:ascii="Times New Roman" w:hAnsi="Times New Roman" w:cs="Times New Roman"/>
          <w:b/>
          <w:sz w:val="24"/>
          <w:szCs w:val="24"/>
        </w:rPr>
      </w:pPr>
      <w:r>
        <w:rPr>
          <w:rFonts w:ascii="Times New Roman" w:hAnsi="Times New Roman" w:cs="Times New Roman"/>
          <w:b/>
          <w:sz w:val="24"/>
          <w:szCs w:val="24"/>
        </w:rPr>
        <w:t>ИНСТИТУТ ФРАНЧАЙЗИНГА В ГРАЖДАНСКОМ ПРАВЕ: ПОНЯТИЕ, ОБЩАЯ ХАРАКТЕРИСТИКА, СОВРЕМЕННЫЕ ПРОБЛЕМЫ</w:t>
      </w:r>
    </w:p>
    <w:p w14:paraId="54D0381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ind w:firstLine="709"/>
        <w:jc w:val="both"/>
        <w:rPr>
          <w:rFonts w:ascii="Times New Roman" w:hAnsi="Times New Roman" w:cs="Times New Roman"/>
          <w:b/>
          <w:sz w:val="24"/>
          <w:szCs w:val="24"/>
        </w:rPr>
      </w:pPr>
    </w:p>
    <w:p w14:paraId="530529B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ind w:firstLine="709"/>
        <w:jc w:val="both"/>
        <w:rPr>
          <w:rFonts w:ascii="Times New Roman" w:hAnsi="Times New Roman" w:cs="Times New Roman"/>
          <w:b/>
          <w:sz w:val="24"/>
          <w:szCs w:val="24"/>
          <w:lang w:val="en-US"/>
        </w:rPr>
      </w:pPr>
      <w:r>
        <w:rPr>
          <w:rFonts w:ascii="Times New Roman" w:hAnsi="Times New Roman" w:cs="Times New Roman"/>
          <w:b/>
          <w:sz w:val="24"/>
          <w:szCs w:val="24"/>
          <w:lang w:val="en-US"/>
        </w:rPr>
        <w:t>INSTITUTE OF FRANCHISING IN THE CIVIL LAW: THE CONCEPT, GENERAL CHARACTERISTICS OF MODERN PROBLEMS</w:t>
      </w:r>
    </w:p>
    <w:p w14:paraId="0B257B4C"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Pr>
          <w:rFonts w:ascii="Times New Roman" w:hAnsi="Times New Roman" w:cs="Times New Roman"/>
          <w:i/>
          <w:sz w:val="24"/>
          <w:szCs w:val="24"/>
        </w:rPr>
        <w:t>Аннотация:</w:t>
      </w:r>
      <w:r>
        <w:rPr>
          <w:rFonts w:ascii="Times New Roman" w:hAnsi="Times New Roman" w:cs="Times New Roman"/>
          <w:sz w:val="24"/>
          <w:szCs w:val="24"/>
        </w:rPr>
        <w:t xml:space="preserve"> В данной статье рассматривается история развития и становления экономического инструмента франшизы. Анализируется сущность, характеристика и наиболее актуальные проблемы развития института франчайзинга в России. В нашей стране сравнительно недавно получили  распространение франчайзинговые  отношения. В действующем российском законодательстве эти отношения реализуются посредством договора коммерческой концессии. Однако существование нерешенных проблем значительно тормозит развитие франчайзинга в нашей стране.</w:t>
      </w:r>
    </w:p>
    <w:p w14:paraId="37F7C9E8"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Pr>
          <w:rFonts w:ascii="Times New Roman" w:hAnsi="Times New Roman" w:cs="Times New Roman"/>
          <w:i/>
          <w:sz w:val="24"/>
          <w:szCs w:val="24"/>
        </w:rPr>
        <w:t xml:space="preserve">Ключевые слова: </w:t>
      </w:r>
      <w:r>
        <w:rPr>
          <w:rFonts w:ascii="Times New Roman" w:hAnsi="Times New Roman" w:cs="Times New Roman"/>
          <w:sz w:val="24"/>
          <w:szCs w:val="24"/>
        </w:rPr>
        <w:t>договор франчайзинга; договор коммерческой концессии; право интеллектуальной собственности; франчайзор; франчайзи; паушальный взнос; роялти; франшиза; франчайзинг; субконцессия.</w:t>
      </w:r>
    </w:p>
    <w:p w14:paraId="3809A512"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lang w:val="en-US"/>
        </w:rPr>
      </w:pPr>
      <w:r>
        <w:rPr>
          <w:rFonts w:ascii="Times New Roman" w:hAnsi="Times New Roman" w:cs="Times New Roman"/>
          <w:i/>
          <w:sz w:val="24"/>
          <w:szCs w:val="24"/>
        </w:rPr>
        <w:t>А</w:t>
      </w:r>
      <w:r>
        <w:rPr>
          <w:rFonts w:ascii="Times New Roman" w:hAnsi="Times New Roman" w:cs="Times New Roman"/>
          <w:i/>
          <w:sz w:val="24"/>
          <w:szCs w:val="24"/>
          <w:lang w:val="en-US"/>
        </w:rPr>
        <w:t>nnotation:</w:t>
      </w:r>
      <w:r>
        <w:rPr>
          <w:rFonts w:ascii="Times New Roman" w:hAnsi="Times New Roman" w:cs="Times New Roman"/>
          <w:sz w:val="24"/>
          <w:szCs w:val="24"/>
          <w:lang w:val="en-US"/>
        </w:rPr>
        <w:t xml:space="preserve"> This article examines the history of the development and formation of the economic tool of the franchise. The article analyzes the essence, characteristics and most pressing problems of the development of the franchise Institute in Russia. In our country, franchise relations have become widespread relatively recently. In the current Russian legislation, these relations are implemented through a commercial concession agreement. However, the existence of unresolved problems significantly hinders the development of franchising in our country.</w:t>
      </w:r>
    </w:p>
    <w:p w14:paraId="650E6A92"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lang w:val="en-US"/>
        </w:rPr>
      </w:pPr>
      <w:r>
        <w:rPr>
          <w:rFonts w:ascii="Times New Roman" w:hAnsi="Times New Roman" w:cs="Times New Roman"/>
          <w:i/>
          <w:sz w:val="24"/>
          <w:szCs w:val="24"/>
          <w:lang w:val="en-US"/>
        </w:rPr>
        <w:t>Keywords:</w:t>
      </w:r>
      <w:r>
        <w:rPr>
          <w:rFonts w:ascii="Times New Roman" w:hAnsi="Times New Roman" w:cs="Times New Roman"/>
          <w:sz w:val="24"/>
          <w:szCs w:val="24"/>
          <w:lang w:val="en-US"/>
        </w:rPr>
        <w:t xml:space="preserve"> franchise agreement; commercial concession agreement; intellectual property right; franchisor; franchisee; lump-sum payment; royalty; franchise; franchising; sub-concession.</w:t>
      </w:r>
    </w:p>
    <w:p w14:paraId="5B680F62" w14:textId="77777777" w:rsidR="0074411C" w:rsidRPr="009B4981" w:rsidRDefault="0074411C"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lang w:val="en-US"/>
        </w:rPr>
      </w:pPr>
    </w:p>
    <w:p w14:paraId="751B445E" w14:textId="6932C2CD"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В условиях разрастающегося экономического кризиса наиболее выгодным для ведения собственного бизнеса является инструмент франшизы. Франчайзинг обладает огромным количеством возможностей одновременно как для франчайзера, так и для франчази. Для франчайзи это ,в первую очередь, возможность ведения бизнеса по уже готовой бизнес-модели, использование методик и отработанного опыта, а также весомое снижение затрат на </w:t>
      </w:r>
      <w:r>
        <w:rPr>
          <w:rFonts w:ascii="Times New Roman" w:hAnsi="Times New Roman" w:cs="Times New Roman"/>
          <w:sz w:val="24"/>
          <w:szCs w:val="24"/>
        </w:rPr>
        <w:lastRenderedPageBreak/>
        <w:t>рекламу и маркетинг. Для франчайзера плюсы выражаются в возможности масштабировать собственный бизнес, найти партнеров, развиваться в новых направлениях, повысить конкурентоспособность.</w:t>
      </w:r>
    </w:p>
    <w:p w14:paraId="321AC87B"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Если обратиться к дефинициям,  «франчайзинг» и  «франшиза» не используются в российской нормативной литературе. Вместо них в Гражданском кодексе  институт  коммерческой концессии. В   ГК РФ не содержится легального определения термина «коммерческая концессия», однако ст.1027 ГК РФ содержит определение договора коммерческой концессии. Исходя из его основных признаков, можно определить коммерческую концессию как вариант осуществления предпринимательской деятельности, по которому одна сторона (правообладатель) передает другой стороне (коммерческой организации или гражданам, зарегистрированных в качестве ИП ) право использовать в предпринимательской деятельности комплекса исключительных прав  включающего право на товарный знак, знак обслуживания, а также права на предусмотренные договором объекты исключительных прав, в частности на коммерческое обозначение, секрет производства (ноу-хау).</w:t>
      </w:r>
      <w:r>
        <w:rPr>
          <w:rStyle w:val="a7"/>
          <w:rFonts w:ascii="Times New Roman" w:hAnsi="Times New Roman" w:cs="Times New Roman"/>
          <w:sz w:val="24"/>
          <w:szCs w:val="24"/>
        </w:rPr>
        <w:footnoteReference w:id="366"/>
      </w:r>
      <w:r>
        <w:rPr>
          <w:rFonts w:ascii="Times New Roman" w:hAnsi="Times New Roman" w:cs="Times New Roman"/>
          <w:sz w:val="24"/>
          <w:szCs w:val="24"/>
        </w:rPr>
        <w:t xml:space="preserve"> Основной целью данного договора является оптимизация бизнеса правообладателя, его развитие и масштабирование, а также снижение рисков для ведения предпринимательской деятельности у его пользователя.</w:t>
      </w:r>
    </w:p>
    <w:p w14:paraId="4889D3C0"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Возвращаясь к терминам «франчайзинг» и «франшиза», данные понятия зачастую используют как синонимы, однако это заблуждение. Франчайзинг рассматривают как способ организации и ведения бизнеса, форма коммерческого взаимодействия, а франшиза как договорной аспект этой деятельности.</w:t>
      </w:r>
      <w:r>
        <w:rPr>
          <w:rStyle w:val="a7"/>
          <w:rFonts w:ascii="Times New Roman" w:hAnsi="Times New Roman" w:cs="Times New Roman"/>
          <w:sz w:val="24"/>
          <w:szCs w:val="24"/>
        </w:rPr>
        <w:footnoteReference w:id="367"/>
      </w:r>
    </w:p>
    <w:p w14:paraId="6A8D4803"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Сам термин «франшиза» образуется от французского «franchise» и переводится как льгота, привилегия. В определении франчайзинга, закрепленном в Регламенте КЕС № 4087/888</w:t>
      </w:r>
      <w:r>
        <w:rPr>
          <w:rStyle w:val="a7"/>
          <w:rFonts w:ascii="Times New Roman" w:hAnsi="Times New Roman" w:cs="Times New Roman"/>
          <w:sz w:val="24"/>
          <w:szCs w:val="24"/>
        </w:rPr>
        <w:footnoteReference w:id="368"/>
      </w:r>
      <w:r>
        <w:rPr>
          <w:rFonts w:ascii="Times New Roman" w:hAnsi="Times New Roman" w:cs="Times New Roman"/>
          <w:sz w:val="24"/>
          <w:szCs w:val="24"/>
        </w:rPr>
        <w:t xml:space="preserve"> раскрывается важное его составляющее – франшиза, определяется как пакет прав промышленной или интеллектуальной собственности, относящийся к товарным знакам, фирменным наименованиям, вывескам магазинов, полезным моделям, дизайну, авторскому праву, ноу-хау или патентам, которые должны использоваться для перепродажи товаров или оказания услуг конечным потребителям.</w:t>
      </w:r>
    </w:p>
    <w:p w14:paraId="49107E12"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Один из самых известных ученых в области маркетинга, Филип Котлер, выделял следующие основные признаки франчайзинга:</w:t>
      </w:r>
    </w:p>
    <w:p w14:paraId="18C1505C"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1.франчайзер получает отчисления за использование своего товарного знака;</w:t>
      </w:r>
    </w:p>
    <w:p w14:paraId="4B348867"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           2.франчайзи выплачивает начальный взнос за право стать частью системы;</w:t>
      </w:r>
    </w:p>
    <w:p w14:paraId="3961ACFD"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3.франчайзер предоставляет франчайзи готовую модель ведения бизнеса</w:t>
      </w:r>
      <w:r>
        <w:rPr>
          <w:rStyle w:val="a7"/>
          <w:rFonts w:ascii="Times New Roman" w:hAnsi="Times New Roman" w:cs="Times New Roman"/>
          <w:sz w:val="24"/>
          <w:szCs w:val="24"/>
        </w:rPr>
        <w:footnoteReference w:id="369"/>
      </w:r>
      <w:r>
        <w:rPr>
          <w:rFonts w:ascii="Times New Roman" w:hAnsi="Times New Roman" w:cs="Times New Roman"/>
          <w:sz w:val="24"/>
          <w:szCs w:val="24"/>
        </w:rPr>
        <w:t>.Итак, из вышеизложенного можно заключить, что франшиза представляет собой комплексный институт гражданского права. Необходимо дать характеристику договора, на котором основываются отношения франчайзинга - договор коммерческой концессии.</w:t>
      </w:r>
    </w:p>
    <w:p w14:paraId="73362A04"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Предметом данного договора являются исключительные права, позволяющие использовать объекты собственности правообладателя на определенных договором условиях.</w:t>
      </w:r>
    </w:p>
    <w:p w14:paraId="7FF6DFEC"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В рассматриваемом договоре исключительные права связаны с объектами промышленной собственности, которые используются в предпринимательской деятельности. В соответствии с Парижской конвенцией об охране промышленной собственности 1883 г., ратифицированной СССР в 1968 г., к объектам промышленной собственности относятся такие объекты, как фирменное наименование или коммерческое обозначение, товарный знак, знак обслуживания.</w:t>
      </w:r>
    </w:p>
    <w:p w14:paraId="3CF96655"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lastRenderedPageBreak/>
        <w:t>Исходя из определения договора  коммерческой концессии, данного в ст.1027, можно выделить следующие его признаки:</w:t>
      </w:r>
    </w:p>
    <w:p w14:paraId="46D79F9F" w14:textId="77777777" w:rsidR="001B6C3B" w:rsidRDefault="001B6C3B" w:rsidP="0074411C">
      <w:pPr>
        <w:numPr>
          <w:ilvl w:val="0"/>
          <w:numId w:val="3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sz w:val="24"/>
          <w:szCs w:val="24"/>
        </w:rPr>
      </w:pPr>
      <w:r>
        <w:rPr>
          <w:rFonts w:ascii="Times New Roman" w:hAnsi="Times New Roman" w:cs="Times New Roman"/>
          <w:sz w:val="24"/>
          <w:szCs w:val="24"/>
        </w:rPr>
        <w:t>Взаимный (для каждой стороны законом предусмотрены права и обязанности)</w:t>
      </w:r>
    </w:p>
    <w:p w14:paraId="5913814F" w14:textId="77777777" w:rsidR="001B6C3B" w:rsidRDefault="001B6C3B" w:rsidP="0074411C">
      <w:pPr>
        <w:numPr>
          <w:ilvl w:val="0"/>
          <w:numId w:val="3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sz w:val="24"/>
          <w:szCs w:val="24"/>
        </w:rPr>
      </w:pPr>
      <w:r>
        <w:rPr>
          <w:rFonts w:ascii="Times New Roman" w:hAnsi="Times New Roman" w:cs="Times New Roman"/>
          <w:sz w:val="24"/>
          <w:szCs w:val="24"/>
        </w:rPr>
        <w:t>Двухсторонний (характерно наличие двух сторон-правообладателя и пользователя)</w:t>
      </w:r>
    </w:p>
    <w:p w14:paraId="5C5498C7" w14:textId="77777777" w:rsidR="001B6C3B" w:rsidRDefault="001B6C3B" w:rsidP="0074411C">
      <w:pPr>
        <w:numPr>
          <w:ilvl w:val="0"/>
          <w:numId w:val="3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sz w:val="24"/>
          <w:szCs w:val="24"/>
        </w:rPr>
      </w:pPr>
      <w:r>
        <w:rPr>
          <w:rFonts w:ascii="Times New Roman" w:hAnsi="Times New Roman" w:cs="Times New Roman"/>
          <w:sz w:val="24"/>
          <w:szCs w:val="24"/>
        </w:rPr>
        <w:t>Возмездный (правообладатель получает вознаграждения в виде роялти и паушальных взносов)</w:t>
      </w:r>
    </w:p>
    <w:p w14:paraId="3475E568" w14:textId="77777777" w:rsidR="001B6C3B" w:rsidRDefault="001B6C3B" w:rsidP="0074411C">
      <w:pPr>
        <w:numPr>
          <w:ilvl w:val="0"/>
          <w:numId w:val="3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sz w:val="24"/>
          <w:szCs w:val="24"/>
        </w:rPr>
      </w:pPr>
      <w:r>
        <w:rPr>
          <w:rFonts w:ascii="Times New Roman" w:hAnsi="Times New Roman" w:cs="Times New Roman"/>
          <w:sz w:val="24"/>
          <w:szCs w:val="24"/>
        </w:rPr>
        <w:t>Консенсуальный (для заключения достаточно соглашения сторон)</w:t>
      </w:r>
    </w:p>
    <w:p w14:paraId="29EE9BD4"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Законодатель особое внимание уделяет сторонам договора. В качестве них могут выступать коммерческие организации и граждане, прошедшие регистрацию в качестве индивидуальных предпринимателей.(п.3 ст.1027 ГК РФ) Под коммерческими организациями в соответствии с п. 1 ст. 50 ГК РФ понимаются организации, преследующие извлечение прибыли в качестве основной цели своей деятельности. Значит, что участниками договора коммерческой концессии не могут быть некоммерческие организации и государственные и муниципальные образования.</w:t>
      </w:r>
    </w:p>
    <w:p w14:paraId="41DCCDB6"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По форме данный договор должен быть заключен в простой письменной форме. Несоблюдение данной формы влечет недействительность договора. (ст. 1028 ГК.РФ). Существенным условием договора коммерческой концессии является выплата пользователем вознаграждения правообладателю. Формы и размер вознаграждения определяются соглашением сторон. Обычно  вознаграждение чаще всего состоит из двух частей: своеобразной «входной платы» за присоединение к фирменной сети правообладателя и последующих периодических платежей, определяемых по твердой шкале или в процентах от выручки.</w:t>
      </w:r>
    </w:p>
    <w:p w14:paraId="4ECC93B6"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bCs/>
          <w:sz w:val="24"/>
          <w:szCs w:val="24"/>
        </w:rPr>
      </w:pPr>
      <w:r>
        <w:rPr>
          <w:rFonts w:ascii="Times New Roman" w:hAnsi="Times New Roman" w:cs="Times New Roman"/>
          <w:bCs/>
          <w:sz w:val="24"/>
          <w:szCs w:val="24"/>
        </w:rPr>
        <w:t>Рассмотрим основные условия договора коммерческой концессии:</w:t>
      </w:r>
    </w:p>
    <w:p w14:paraId="194B89BB" w14:textId="77777777" w:rsidR="001B6C3B" w:rsidRDefault="001B6C3B" w:rsidP="0074411C">
      <w:pPr>
        <w:numPr>
          <w:ilvl w:val="0"/>
          <w:numId w:val="4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bCs/>
          <w:sz w:val="24"/>
          <w:szCs w:val="24"/>
        </w:rPr>
      </w:pPr>
      <w:r>
        <w:rPr>
          <w:rFonts w:ascii="Times New Roman" w:hAnsi="Times New Roman" w:cs="Times New Roman"/>
          <w:bCs/>
          <w:sz w:val="24"/>
          <w:szCs w:val="24"/>
        </w:rPr>
        <w:t>Предмет договора (устанавливаются какие объекты или объект передаются в пользование)</w:t>
      </w:r>
    </w:p>
    <w:p w14:paraId="01EF91E5" w14:textId="77777777" w:rsidR="001B6C3B" w:rsidRDefault="001B6C3B" w:rsidP="0074411C">
      <w:pPr>
        <w:numPr>
          <w:ilvl w:val="0"/>
          <w:numId w:val="4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bCs/>
          <w:sz w:val="24"/>
          <w:szCs w:val="24"/>
        </w:rPr>
      </w:pPr>
      <w:r>
        <w:rPr>
          <w:rFonts w:ascii="Times New Roman" w:hAnsi="Times New Roman" w:cs="Times New Roman"/>
          <w:bCs/>
          <w:sz w:val="24"/>
          <w:szCs w:val="24"/>
        </w:rPr>
        <w:t>Порядок использования объектов интеллектуальной собственности</w:t>
      </w:r>
    </w:p>
    <w:p w14:paraId="5EBCB231" w14:textId="77777777" w:rsidR="001B6C3B" w:rsidRDefault="001B6C3B" w:rsidP="0074411C">
      <w:pPr>
        <w:numPr>
          <w:ilvl w:val="0"/>
          <w:numId w:val="4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bCs/>
          <w:sz w:val="24"/>
          <w:szCs w:val="24"/>
        </w:rPr>
      </w:pPr>
      <w:r>
        <w:rPr>
          <w:rFonts w:ascii="Times New Roman" w:hAnsi="Times New Roman" w:cs="Times New Roman"/>
          <w:bCs/>
          <w:sz w:val="24"/>
          <w:szCs w:val="24"/>
        </w:rPr>
        <w:t>Размер, форму и порядок выплат вознаграждений правообладателю. Как правило это единовременный платеж (паушальный взнос) и затем регулярные (ежемесячные или ежеквартальные) отчисления – роялти.</w:t>
      </w:r>
    </w:p>
    <w:p w14:paraId="080CDDE5" w14:textId="77777777" w:rsidR="001B6C3B" w:rsidRDefault="001B6C3B" w:rsidP="0074411C">
      <w:pPr>
        <w:numPr>
          <w:ilvl w:val="0"/>
          <w:numId w:val="4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bCs/>
          <w:sz w:val="24"/>
          <w:szCs w:val="24"/>
        </w:rPr>
      </w:pPr>
      <w:r>
        <w:rPr>
          <w:rFonts w:ascii="Times New Roman" w:hAnsi="Times New Roman" w:cs="Times New Roman"/>
          <w:bCs/>
          <w:sz w:val="24"/>
          <w:szCs w:val="24"/>
        </w:rPr>
        <w:t>Требование соблюдать установленные правообладателем стандарты качества и порядок оказания услуг.</w:t>
      </w:r>
    </w:p>
    <w:p w14:paraId="70A9475F" w14:textId="77777777" w:rsidR="001B6C3B" w:rsidRDefault="001B6C3B" w:rsidP="0074411C">
      <w:pPr>
        <w:numPr>
          <w:ilvl w:val="0"/>
          <w:numId w:val="4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bCs/>
          <w:sz w:val="24"/>
          <w:szCs w:val="24"/>
        </w:rPr>
      </w:pPr>
      <w:r>
        <w:rPr>
          <w:rFonts w:ascii="Times New Roman" w:hAnsi="Times New Roman" w:cs="Times New Roman"/>
          <w:bCs/>
          <w:sz w:val="24"/>
          <w:szCs w:val="24"/>
        </w:rPr>
        <w:t>Запрет на разглашение секретов производства и иной конфиденциальной информации, полученной от собственника.</w:t>
      </w:r>
    </w:p>
    <w:p w14:paraId="2923F5A8"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Помимо основных существуют также перечень дополнительных условий:</w:t>
      </w:r>
    </w:p>
    <w:p w14:paraId="63940878" w14:textId="77777777" w:rsidR="001B6C3B" w:rsidRDefault="001B6C3B" w:rsidP="0074411C">
      <w:pPr>
        <w:numPr>
          <w:ilvl w:val="0"/>
          <w:numId w:val="4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sz w:val="24"/>
          <w:szCs w:val="24"/>
        </w:rPr>
      </w:pPr>
      <w:r>
        <w:rPr>
          <w:rFonts w:ascii="Times New Roman" w:hAnsi="Times New Roman" w:cs="Times New Roman"/>
          <w:sz w:val="24"/>
          <w:szCs w:val="24"/>
        </w:rPr>
        <w:t>Территория, на которой могут использоваться объекты использования.</w:t>
      </w:r>
    </w:p>
    <w:p w14:paraId="4115C6A6" w14:textId="77777777" w:rsidR="001B6C3B" w:rsidRDefault="001B6C3B" w:rsidP="0074411C">
      <w:pPr>
        <w:numPr>
          <w:ilvl w:val="0"/>
          <w:numId w:val="4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sz w:val="24"/>
          <w:szCs w:val="24"/>
        </w:rPr>
      </w:pPr>
      <w:r>
        <w:rPr>
          <w:rFonts w:ascii="Times New Roman" w:hAnsi="Times New Roman" w:cs="Times New Roman"/>
          <w:sz w:val="24"/>
          <w:szCs w:val="24"/>
        </w:rPr>
        <w:t xml:space="preserve">Возможность заключить договор субконцессии </w:t>
      </w:r>
    </w:p>
    <w:p w14:paraId="7B72AD16" w14:textId="77777777" w:rsidR="001B6C3B" w:rsidRDefault="001B6C3B" w:rsidP="0074411C">
      <w:pPr>
        <w:numPr>
          <w:ilvl w:val="0"/>
          <w:numId w:val="4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sz w:val="24"/>
          <w:szCs w:val="24"/>
        </w:rPr>
      </w:pPr>
      <w:r>
        <w:rPr>
          <w:rFonts w:ascii="Times New Roman" w:hAnsi="Times New Roman" w:cs="Times New Roman"/>
          <w:sz w:val="24"/>
          <w:szCs w:val="24"/>
        </w:rPr>
        <w:t>Запрет для пользователя заключать договоры коммерческой концессии с конкурентами правообладателя</w:t>
      </w:r>
    </w:p>
    <w:p w14:paraId="79671C93" w14:textId="77777777" w:rsidR="001B6C3B" w:rsidRDefault="001B6C3B" w:rsidP="0074411C">
      <w:pPr>
        <w:numPr>
          <w:ilvl w:val="0"/>
          <w:numId w:val="4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sz w:val="24"/>
          <w:szCs w:val="24"/>
        </w:rPr>
      </w:pPr>
      <w:r>
        <w:rPr>
          <w:rFonts w:ascii="Times New Roman" w:hAnsi="Times New Roman" w:cs="Times New Roman"/>
          <w:sz w:val="24"/>
          <w:szCs w:val="24"/>
        </w:rPr>
        <w:t xml:space="preserve">Обязанность пользователя согласовывать с правообладателем расположение и размер помещений </w:t>
      </w:r>
    </w:p>
    <w:p w14:paraId="03C02FB6" w14:textId="77777777" w:rsidR="001B6C3B" w:rsidRDefault="001B6C3B" w:rsidP="0074411C">
      <w:pPr>
        <w:numPr>
          <w:ilvl w:val="0"/>
          <w:numId w:val="4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sz w:val="24"/>
          <w:szCs w:val="24"/>
        </w:rPr>
      </w:pPr>
      <w:r>
        <w:rPr>
          <w:rFonts w:ascii="Times New Roman" w:hAnsi="Times New Roman" w:cs="Times New Roman"/>
          <w:sz w:val="24"/>
          <w:szCs w:val="24"/>
        </w:rPr>
        <w:t>Требование исключить возможность конкурировать с правообладателем на территории, которую включает договор концессии</w:t>
      </w:r>
    </w:p>
    <w:p w14:paraId="7EF319C7" w14:textId="77777777" w:rsidR="001B6C3B" w:rsidRDefault="001B6C3B" w:rsidP="0074411C">
      <w:pPr>
        <w:numPr>
          <w:ilvl w:val="0"/>
          <w:numId w:val="4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sz w:val="24"/>
          <w:szCs w:val="24"/>
        </w:rPr>
      </w:pPr>
      <w:r>
        <w:rPr>
          <w:rFonts w:ascii="Times New Roman" w:hAnsi="Times New Roman" w:cs="Times New Roman"/>
          <w:sz w:val="24"/>
          <w:szCs w:val="24"/>
        </w:rPr>
        <w:t>Обязанность пользователя реализовывать товары и услуги по ценам, назначенным правообладателем.</w:t>
      </w:r>
    </w:p>
    <w:p w14:paraId="4F30DE21"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Как и для любого договора, для договора коммерческой концессии характерно наличие содержания договора, отражающего круг прав и обязанностей  сторон.</w:t>
      </w:r>
    </w:p>
    <w:p w14:paraId="20C67520"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В соответствии со статьей 1031 ГК РФ правообладатель обязан:</w:t>
      </w:r>
    </w:p>
    <w:p w14:paraId="78881DFE" w14:textId="77777777" w:rsidR="001B6C3B" w:rsidRDefault="001B6C3B" w:rsidP="0074411C">
      <w:pPr>
        <w:numPr>
          <w:ilvl w:val="0"/>
          <w:numId w:val="42"/>
        </w:numPr>
        <w:spacing w:after="0" w:line="240" w:lineRule="auto"/>
        <w:ind w:left="0" w:firstLine="567"/>
        <w:jc w:val="both"/>
        <w:rPr>
          <w:rFonts w:ascii="Times New Roman" w:hAnsi="Times New Roman" w:cs="Times New Roman"/>
          <w:sz w:val="24"/>
          <w:szCs w:val="24"/>
        </w:rPr>
      </w:pPr>
      <w:r>
        <w:rPr>
          <w:rFonts w:ascii="Times New Roman" w:hAnsi="Times New Roman" w:cs="Times New Roman"/>
          <w:sz w:val="24"/>
          <w:szCs w:val="24"/>
        </w:rPr>
        <w:t>предоставить пользователю всю необходимую документацию для осуществления деятельности;</w:t>
      </w:r>
    </w:p>
    <w:p w14:paraId="18F3A385" w14:textId="77777777" w:rsidR="001B6C3B" w:rsidRDefault="001B6C3B" w:rsidP="0074411C">
      <w:pPr>
        <w:numPr>
          <w:ilvl w:val="0"/>
          <w:numId w:val="42"/>
        </w:numPr>
        <w:spacing w:after="0" w:line="240" w:lineRule="auto"/>
        <w:ind w:left="0" w:firstLine="567"/>
        <w:jc w:val="both"/>
        <w:rPr>
          <w:rFonts w:ascii="Times New Roman" w:hAnsi="Times New Roman" w:cs="Times New Roman"/>
          <w:sz w:val="24"/>
          <w:szCs w:val="24"/>
        </w:rPr>
      </w:pPr>
      <w:r>
        <w:rPr>
          <w:rFonts w:ascii="Times New Roman" w:hAnsi="Times New Roman" w:cs="Times New Roman"/>
          <w:sz w:val="24"/>
          <w:szCs w:val="24"/>
        </w:rPr>
        <w:t>зарегистрировать договор франчайзинга в Роспатенте;</w:t>
      </w:r>
    </w:p>
    <w:p w14:paraId="55D4DDBD" w14:textId="77777777" w:rsidR="001B6C3B" w:rsidRDefault="001B6C3B" w:rsidP="0074411C">
      <w:pPr>
        <w:numPr>
          <w:ilvl w:val="0"/>
          <w:numId w:val="42"/>
        </w:numPr>
        <w:spacing w:after="0" w:line="240" w:lineRule="auto"/>
        <w:ind w:left="0" w:firstLine="567"/>
        <w:jc w:val="both"/>
        <w:rPr>
          <w:rFonts w:ascii="Times New Roman" w:hAnsi="Times New Roman" w:cs="Times New Roman"/>
          <w:sz w:val="24"/>
          <w:szCs w:val="24"/>
        </w:rPr>
      </w:pPr>
      <w:r>
        <w:rPr>
          <w:rFonts w:ascii="Times New Roman" w:hAnsi="Times New Roman" w:cs="Times New Roman"/>
          <w:sz w:val="24"/>
          <w:szCs w:val="24"/>
        </w:rPr>
        <w:t>консультировать пользователя;</w:t>
      </w:r>
    </w:p>
    <w:p w14:paraId="624B6CE1" w14:textId="77777777" w:rsidR="001B6C3B" w:rsidRDefault="001B6C3B" w:rsidP="0074411C">
      <w:pPr>
        <w:numPr>
          <w:ilvl w:val="0"/>
          <w:numId w:val="42"/>
        </w:numPr>
        <w:spacing w:after="0" w:line="240" w:lineRule="auto"/>
        <w:ind w:left="0" w:firstLine="567"/>
        <w:jc w:val="both"/>
        <w:rPr>
          <w:rFonts w:ascii="Times New Roman" w:hAnsi="Times New Roman" w:cs="Times New Roman"/>
          <w:sz w:val="24"/>
          <w:szCs w:val="24"/>
        </w:rPr>
      </w:pPr>
      <w:r>
        <w:rPr>
          <w:rFonts w:ascii="Times New Roman" w:hAnsi="Times New Roman" w:cs="Times New Roman"/>
          <w:sz w:val="24"/>
          <w:szCs w:val="24"/>
        </w:rPr>
        <w:lastRenderedPageBreak/>
        <w:t>контролировать качество производимых пользователем товаров или оказываемых услуг.</w:t>
      </w:r>
    </w:p>
    <w:p w14:paraId="029CF00C"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Согласно статье 1032 ГК РФ пользователь обязан:</w:t>
      </w:r>
    </w:p>
    <w:p w14:paraId="59B1BCF2" w14:textId="77777777" w:rsidR="001B6C3B" w:rsidRDefault="001B6C3B" w:rsidP="0074411C">
      <w:pPr>
        <w:numPr>
          <w:ilvl w:val="0"/>
          <w:numId w:val="43"/>
        </w:numPr>
        <w:spacing w:after="0" w:line="240" w:lineRule="auto"/>
        <w:ind w:left="0" w:firstLine="567"/>
        <w:jc w:val="both"/>
        <w:rPr>
          <w:rFonts w:ascii="Times New Roman" w:hAnsi="Times New Roman" w:cs="Times New Roman"/>
          <w:sz w:val="24"/>
          <w:szCs w:val="24"/>
        </w:rPr>
      </w:pPr>
      <w:r>
        <w:rPr>
          <w:rFonts w:ascii="Times New Roman" w:hAnsi="Times New Roman" w:cs="Times New Roman"/>
          <w:sz w:val="24"/>
          <w:szCs w:val="24"/>
        </w:rPr>
        <w:t>использовать предоставленный товарный знак, указанным в договоре образом;</w:t>
      </w:r>
    </w:p>
    <w:p w14:paraId="12AA7FCA" w14:textId="77777777" w:rsidR="001B6C3B" w:rsidRDefault="001B6C3B" w:rsidP="0074411C">
      <w:pPr>
        <w:numPr>
          <w:ilvl w:val="0"/>
          <w:numId w:val="43"/>
        </w:numPr>
        <w:spacing w:after="0" w:line="240" w:lineRule="auto"/>
        <w:ind w:left="0" w:firstLine="567"/>
        <w:jc w:val="both"/>
        <w:rPr>
          <w:rFonts w:ascii="Times New Roman" w:hAnsi="Times New Roman" w:cs="Times New Roman"/>
          <w:sz w:val="24"/>
          <w:szCs w:val="24"/>
        </w:rPr>
      </w:pPr>
      <w:r>
        <w:rPr>
          <w:rFonts w:ascii="Times New Roman" w:hAnsi="Times New Roman" w:cs="Times New Roman"/>
          <w:sz w:val="24"/>
          <w:szCs w:val="24"/>
        </w:rPr>
        <w:t>сохранять в тайне секреты, ноу-хау и другую конфиденциальную информацию правообладателя;</w:t>
      </w:r>
    </w:p>
    <w:p w14:paraId="31F513C4" w14:textId="77777777" w:rsidR="001B6C3B" w:rsidRDefault="001B6C3B" w:rsidP="0074411C">
      <w:pPr>
        <w:numPr>
          <w:ilvl w:val="0"/>
          <w:numId w:val="43"/>
        </w:numPr>
        <w:spacing w:after="0" w:line="240" w:lineRule="auto"/>
        <w:ind w:left="0" w:firstLine="567"/>
        <w:jc w:val="both"/>
        <w:rPr>
          <w:rFonts w:ascii="Times New Roman" w:hAnsi="Times New Roman" w:cs="Times New Roman"/>
          <w:sz w:val="24"/>
          <w:szCs w:val="24"/>
        </w:rPr>
      </w:pPr>
      <w:r>
        <w:rPr>
          <w:rFonts w:ascii="Times New Roman" w:hAnsi="Times New Roman" w:cs="Times New Roman"/>
          <w:sz w:val="24"/>
          <w:szCs w:val="24"/>
        </w:rPr>
        <w:t>действовать согласно инструкциям и указаниям правообладателя;</w:t>
      </w:r>
    </w:p>
    <w:p w14:paraId="22042690" w14:textId="77777777" w:rsidR="001B6C3B" w:rsidRDefault="001B6C3B" w:rsidP="0074411C">
      <w:pPr>
        <w:numPr>
          <w:ilvl w:val="0"/>
          <w:numId w:val="43"/>
        </w:numPr>
        <w:spacing w:after="0" w:line="240" w:lineRule="auto"/>
        <w:ind w:left="0" w:firstLine="567"/>
        <w:jc w:val="both"/>
        <w:rPr>
          <w:rFonts w:ascii="Times New Roman" w:hAnsi="Times New Roman" w:cs="Times New Roman"/>
          <w:sz w:val="24"/>
          <w:szCs w:val="24"/>
        </w:rPr>
      </w:pPr>
      <w:r>
        <w:rPr>
          <w:rFonts w:ascii="Times New Roman" w:hAnsi="Times New Roman" w:cs="Times New Roman"/>
          <w:sz w:val="24"/>
          <w:szCs w:val="24"/>
        </w:rPr>
        <w:t>предоставлять клиентам все доп. услуги, которые они могли бы получить, если бы приобретали товар или услугу у правообладателя;</w:t>
      </w:r>
    </w:p>
    <w:p w14:paraId="14482C6B" w14:textId="77777777" w:rsidR="001B6C3B" w:rsidRDefault="001B6C3B" w:rsidP="0074411C">
      <w:pPr>
        <w:numPr>
          <w:ilvl w:val="0"/>
          <w:numId w:val="43"/>
        </w:numPr>
        <w:spacing w:after="0" w:line="240" w:lineRule="auto"/>
        <w:ind w:left="0" w:firstLine="567"/>
        <w:jc w:val="both"/>
        <w:rPr>
          <w:rFonts w:ascii="Times New Roman" w:hAnsi="Times New Roman" w:cs="Times New Roman"/>
          <w:sz w:val="24"/>
          <w:szCs w:val="24"/>
        </w:rPr>
      </w:pPr>
      <w:r>
        <w:rPr>
          <w:rFonts w:ascii="Times New Roman" w:hAnsi="Times New Roman" w:cs="Times New Roman"/>
          <w:sz w:val="24"/>
          <w:szCs w:val="24"/>
        </w:rPr>
        <w:t>обеспечивать качество товара или услуг на уровне аналогичных правообладателя.</w:t>
      </w:r>
    </w:p>
    <w:p w14:paraId="2FDCD100"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Договором коммерческой концессии может быть установлена право или даже обязанность пользователя на выдачу субконцессий на определенной договором территории. (ст. 1029 ГК РФ). Данное условие способствует эффективному расширению бизнеса правообладателя, созданию сбытовых или торговых сетей и организации управления ими.</w:t>
      </w:r>
    </w:p>
    <w:p w14:paraId="454AB575"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При использовании субконцессии первичный пользователь берет на себя дополнительные управленческие и организационные функции, расширяет сеть бизнес-точек правообладателя.</w:t>
      </w:r>
    </w:p>
    <w:p w14:paraId="5E2015C8"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По статистическим данным Россия по использованию франчайзинговых отношений значительно отстает от европейских стран. Международная практика свидетельствует, что в первые годы развития франчайзинговых отношений, основная доля франшиз приходилась на иностранные. Популяризация и рост франчайзингового рынка в нашей  стране наблюдался в период с 2007-2013 года. Доля национальных франчайзеров стала постепенно увеличиваться. Такое позднее распространение в бизнесе франчайзинговых отношений результат отсутствия законодательного регулирования. </w:t>
      </w:r>
    </w:p>
    <w:p w14:paraId="0FF0700D"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Лишь в 2014 году в Госдуму внесли законопроект о франчайзинге, который регулировал договорные отношения между франчайзи и франчайзером и защищал интересы обеих сторон.</w:t>
      </w:r>
      <w:r>
        <w:rPr>
          <w:rStyle w:val="a7"/>
          <w:rFonts w:ascii="Times New Roman" w:hAnsi="Times New Roman" w:cs="Times New Roman"/>
          <w:sz w:val="24"/>
          <w:szCs w:val="24"/>
        </w:rPr>
        <w:footnoteReference w:id="370"/>
      </w:r>
      <w:r>
        <w:rPr>
          <w:rFonts w:ascii="Times New Roman" w:hAnsi="Times New Roman" w:cs="Times New Roman"/>
          <w:sz w:val="24"/>
          <w:szCs w:val="24"/>
        </w:rPr>
        <w:t xml:space="preserve"> </w:t>
      </w:r>
      <w:r>
        <w:rPr>
          <w:rFonts w:ascii="Times New Roman" w:hAnsi="Times New Roman" w:cs="Times New Roman"/>
          <w:sz w:val="24"/>
          <w:szCs w:val="24"/>
        </w:rPr>
        <w:br/>
        <w:t>Анализируя развитие франчайзинговых отношений  в России можно выделить ряд проблем в данной сфере отношений. Их можно разделить на две категории: экономические проблемы и правовые.</w:t>
      </w:r>
    </w:p>
    <w:p w14:paraId="160766C3"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К экономическим можно отнести:</w:t>
      </w:r>
    </w:p>
    <w:p w14:paraId="34FDF79F" w14:textId="77777777" w:rsidR="001B6C3B" w:rsidRDefault="001B6C3B" w:rsidP="0074411C">
      <w:pPr>
        <w:numPr>
          <w:ilvl w:val="1"/>
          <w:numId w:val="4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sz w:val="24"/>
          <w:szCs w:val="24"/>
        </w:rPr>
      </w:pPr>
      <w:r>
        <w:rPr>
          <w:rFonts w:ascii="Times New Roman" w:hAnsi="Times New Roman" w:cs="Times New Roman"/>
          <w:sz w:val="24"/>
          <w:szCs w:val="24"/>
        </w:rPr>
        <w:t>Обязанность франчайзи закупать сырье и продукцию у поставщиков, что является не всегда выгодным для франчайзи в связи с чаще всего завышенной ценой.</w:t>
      </w:r>
    </w:p>
    <w:p w14:paraId="0E114BC2" w14:textId="77777777" w:rsidR="001B6C3B" w:rsidRDefault="001B6C3B" w:rsidP="0074411C">
      <w:pPr>
        <w:numPr>
          <w:ilvl w:val="1"/>
          <w:numId w:val="4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sz w:val="24"/>
          <w:szCs w:val="24"/>
        </w:rPr>
      </w:pPr>
      <w:r>
        <w:rPr>
          <w:rFonts w:ascii="Times New Roman" w:hAnsi="Times New Roman" w:cs="Times New Roman"/>
          <w:sz w:val="24"/>
          <w:szCs w:val="24"/>
        </w:rPr>
        <w:t>Франчайзи в процессе ведения бизнеса должен принимать во внимание правила и ограничения,  установленные франчайзером.</w:t>
      </w:r>
    </w:p>
    <w:p w14:paraId="4893FF68" w14:textId="77777777" w:rsidR="001B6C3B" w:rsidRDefault="001B6C3B" w:rsidP="0074411C">
      <w:pPr>
        <w:numPr>
          <w:ilvl w:val="1"/>
          <w:numId w:val="4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sz w:val="24"/>
          <w:szCs w:val="24"/>
        </w:rPr>
      </w:pPr>
      <w:r>
        <w:rPr>
          <w:rFonts w:ascii="Times New Roman" w:hAnsi="Times New Roman" w:cs="Times New Roman"/>
          <w:sz w:val="24"/>
          <w:szCs w:val="24"/>
        </w:rPr>
        <w:t>Правообладателем устанавливаются жесткие условия выхода франчайзи из бизнеса, это заключается в невозможности открыть собственный бизнес в течение определенного периода времени.</w:t>
      </w:r>
    </w:p>
    <w:p w14:paraId="70BA1FE1" w14:textId="77777777" w:rsidR="001B6C3B" w:rsidRDefault="001B6C3B" w:rsidP="0074411C">
      <w:pPr>
        <w:numPr>
          <w:ilvl w:val="1"/>
          <w:numId w:val="4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sz w:val="24"/>
          <w:szCs w:val="24"/>
        </w:rPr>
      </w:pPr>
      <w:r>
        <w:rPr>
          <w:rFonts w:ascii="Times New Roman" w:hAnsi="Times New Roman" w:cs="Times New Roman"/>
          <w:sz w:val="24"/>
          <w:szCs w:val="24"/>
        </w:rPr>
        <w:t>Постоянный контроль франчайзера за деятельностью франчайзи- отсутствие самостоятельности в ведении бизнеса</w:t>
      </w:r>
    </w:p>
    <w:p w14:paraId="2F65F88B"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Необходимо брать во внимание, что франчайзинг является экономическим инструментом. Следовательно, для его внедрения необходимы экономические предпосылки, которые в России либо не сформировались, либо сформировались частично.</w:t>
      </w:r>
    </w:p>
    <w:p w14:paraId="75FCC56F"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Слабое развитие франчайзинговых отношений в нашей стране обусловлено в первую очередь недостатком профессиональных знаний в области маркетинга и опыта по применению франчайзинговых схем.</w:t>
      </w:r>
    </w:p>
    <w:p w14:paraId="7D2F2476"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К правовым проблемам можно отнести отсутствие законодательного регулирования понятий и условий непосредственно договора франчайзинга. Так как франшиза является комплексным институтом, отсутствие в гражданском законодательстве отдельного закона, </w:t>
      </w:r>
      <w:r>
        <w:rPr>
          <w:rFonts w:ascii="Times New Roman" w:hAnsi="Times New Roman" w:cs="Times New Roman"/>
          <w:sz w:val="24"/>
          <w:szCs w:val="24"/>
        </w:rPr>
        <w:lastRenderedPageBreak/>
        <w:t>регулирующего деятельность франчайзинга, является существенной проблемой для дальнейшего развития данных отношений.</w:t>
      </w:r>
    </w:p>
    <w:p w14:paraId="1496CDDD"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Кроме этого в России развитие франчайзинговых отношений не обеспечено поддержкой на государственном уровне. Во-первых, длительная процедура регистрации. Согласно Гражданскому кодексу РФ договор коммерческой концессии подлежит обязательной регистрации в Роспатенте, что приводит затягиванию процесса заключения франчайзинговой сделки. Во-вторых, отсутствует законодательная база, касающаяся отношений франчайзинга.</w:t>
      </w:r>
    </w:p>
    <w:p w14:paraId="786448A9"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Проанализировав основные проблемы развития франчайзинговых отношений в России, предложу несколько вариантов их решения.</w:t>
      </w:r>
    </w:p>
    <w:p w14:paraId="3A447022"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Экономические проблемы можно минимизировать путем внедрения большей информационной оснащенности в сфере франчайзинговых отношениях. В России на сегодняшний день имеется мало литературы, посвященной методам ведения франчайзинговых отношений. А существующие франчайзинговые компании не предоставляют финансовую отчетность в налоговые органы, что делает невозможным отследить статистику развития франчайзинговых компаний и проанализировать успешность их деятельности.</w:t>
      </w:r>
    </w:p>
    <w:p w14:paraId="6E8EA230"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Поэтому необходимо создать образовательную систему, обеспечивающую подготовку субъектов франчайзинговых отношений и их последующее консультирование по конкретным экономическим вопросам. Образовательную программу можно развивать также путем внедрения сети учебных центров по всей России и включения в учебный план вузов учебных предметов по вопросам развития франчайзинга.</w:t>
      </w:r>
    </w:p>
    <w:p w14:paraId="70F10378"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Решения требуют и правовые проблемы франчайзинговых отношений. Для их решения необходимо создать законодательную базу, регулирующую отношения между субъектами данных отношений, устанавливающую систему основных понятий, а также права и обязанности субъектов. Необходимо обеспечить удобство  в применении нормативных актов для участников франчайзинговой системы и обеспечить прозрачность ее деятельности для контролирующих органов.</w:t>
      </w:r>
    </w:p>
    <w:p w14:paraId="691F127F"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В систему законодательных актов должны входить:</w:t>
      </w:r>
    </w:p>
    <w:p w14:paraId="68156E5F" w14:textId="77777777" w:rsidR="001B6C3B" w:rsidRDefault="001B6C3B" w:rsidP="0074411C">
      <w:pPr>
        <w:numPr>
          <w:ilvl w:val="0"/>
          <w:numId w:val="4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sz w:val="24"/>
          <w:szCs w:val="24"/>
        </w:rPr>
      </w:pPr>
      <w:r>
        <w:rPr>
          <w:rFonts w:ascii="Times New Roman" w:hAnsi="Times New Roman" w:cs="Times New Roman"/>
          <w:sz w:val="24"/>
          <w:szCs w:val="24"/>
        </w:rPr>
        <w:t>Гражданский кодекс РФ, включающий в себя основные положения по использованию франчайзинга в России.</w:t>
      </w:r>
    </w:p>
    <w:p w14:paraId="1938235B" w14:textId="77777777" w:rsidR="001B6C3B" w:rsidRDefault="001B6C3B" w:rsidP="0074411C">
      <w:pPr>
        <w:numPr>
          <w:ilvl w:val="0"/>
          <w:numId w:val="4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sz w:val="24"/>
          <w:szCs w:val="24"/>
        </w:rPr>
      </w:pPr>
      <w:r>
        <w:rPr>
          <w:rFonts w:ascii="Times New Roman" w:hAnsi="Times New Roman" w:cs="Times New Roman"/>
          <w:sz w:val="24"/>
          <w:szCs w:val="24"/>
        </w:rPr>
        <w:t>ФЗ «О франчайзинге в Российской Федерации»</w:t>
      </w:r>
    </w:p>
    <w:p w14:paraId="19B122AB" w14:textId="77777777" w:rsidR="001B6C3B" w:rsidRDefault="001B6C3B" w:rsidP="0074411C">
      <w:pPr>
        <w:numPr>
          <w:ilvl w:val="0"/>
          <w:numId w:val="4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sz w:val="24"/>
          <w:szCs w:val="24"/>
        </w:rPr>
      </w:pPr>
      <w:r>
        <w:rPr>
          <w:rFonts w:ascii="Times New Roman" w:hAnsi="Times New Roman" w:cs="Times New Roman"/>
          <w:sz w:val="24"/>
          <w:szCs w:val="24"/>
        </w:rPr>
        <w:t>Законы, регулирующие права на интеллектуальную собственность на и ответственность за ее нарушения.</w:t>
      </w:r>
    </w:p>
    <w:p w14:paraId="3B8BADF9"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В этой системе необходимо разработать и принять новый закон о франчайзинге, а в остальные нормативные акты внести изменения. </w:t>
      </w:r>
    </w:p>
    <w:p w14:paraId="789DF79B"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Таким образом, мы изучили сущность, характеристику и наиболее актуальные проблемы развития института франчайзинга в России. В нашей стране сравнительно недавно получили  распространение франчайзинговые  отношения. Отсутствие законодательной базы и слабое экономическое и социально-психологическое обеспечение приводит к образованию негативных последствий в процессе предпринимательской деятельности. Тем не менее, если учесть все проблемы, проанализировать зарубежный опыт  и сконцентрировать деятельность субъектов франчайзинговой сферы на решении данных проблем, можно добиться их преодоления.</w:t>
      </w:r>
    </w:p>
    <w:p w14:paraId="5F30E074"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p>
    <w:p w14:paraId="68FF8C31"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hAnsi="Times New Roman" w:cs="Times New Roman"/>
          <w:b/>
          <w:sz w:val="28"/>
          <w:szCs w:val="24"/>
        </w:rPr>
      </w:pPr>
      <w:r>
        <w:rPr>
          <w:rFonts w:ascii="Times New Roman" w:hAnsi="Times New Roman" w:cs="Times New Roman"/>
          <w:b/>
          <w:sz w:val="28"/>
          <w:szCs w:val="24"/>
        </w:rPr>
        <w:t>Библиографический список</w:t>
      </w:r>
    </w:p>
    <w:p w14:paraId="2EB22A1D"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hAnsi="Times New Roman" w:cs="Times New Roman"/>
          <w:b/>
          <w:sz w:val="28"/>
          <w:szCs w:val="24"/>
        </w:rPr>
      </w:pPr>
    </w:p>
    <w:p w14:paraId="04066D1C"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rPr>
          <w:rFonts w:ascii="Times New Roman" w:hAnsi="Times New Roman" w:cs="Times New Roman"/>
          <w:sz w:val="24"/>
          <w:szCs w:val="24"/>
        </w:rPr>
      </w:pPr>
      <w:r>
        <w:rPr>
          <w:rFonts w:ascii="Times New Roman" w:hAnsi="Times New Roman" w:cs="Times New Roman"/>
          <w:sz w:val="24"/>
          <w:szCs w:val="24"/>
        </w:rPr>
        <w:t>1.Анарбаев Ж.А. Институт франшизы в гражданском праве: современные проблемы и зарубежный опыт // НАУКА ЧЕРЕЗ ПРИЗМУ ВРЕМЕНИ.- 2017.-№4.- С.63-65</w:t>
      </w:r>
    </w:p>
    <w:p w14:paraId="05948518" w14:textId="77777777" w:rsidR="001B6C3B" w:rsidRDefault="001B6C3B" w:rsidP="00744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rPr>
          <w:rFonts w:ascii="Times New Roman" w:hAnsi="Times New Roman" w:cs="Times New Roman"/>
          <w:sz w:val="24"/>
          <w:szCs w:val="24"/>
        </w:rPr>
      </w:pPr>
      <w:r>
        <w:rPr>
          <w:rFonts w:ascii="Times New Roman" w:hAnsi="Times New Roman" w:cs="Times New Roman"/>
          <w:sz w:val="24"/>
          <w:szCs w:val="24"/>
        </w:rPr>
        <w:t>2.</w:t>
      </w:r>
      <w:r>
        <w:rPr>
          <w:rFonts w:ascii="Times New Roman" w:hAnsi="Times New Roman" w:cs="Times New Roman"/>
        </w:rPr>
        <w:t xml:space="preserve"> </w:t>
      </w:r>
      <w:r>
        <w:rPr>
          <w:rFonts w:ascii="Times New Roman" w:hAnsi="Times New Roman" w:cs="Times New Roman"/>
          <w:sz w:val="24"/>
          <w:szCs w:val="24"/>
        </w:rPr>
        <w:t>Вострикова К. В., Слатвицкая И. И. Франчайзинг в России: проблемы и перспективы развития // Материалы VIII Международной студенческой электронной научной конференции «Студенческий научный форум». — 2016. — 6 с. — URL: http://www.scienceforum.ru/2016/1592/18266</w:t>
      </w:r>
    </w:p>
    <w:p w14:paraId="2DC2ACD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cs="Times New Roman"/>
          <w:sz w:val="24"/>
          <w:szCs w:val="24"/>
        </w:rPr>
        <w:sectPr w:rsidR="001B6C3B">
          <w:footnotePr>
            <w:numRestart w:val="eachPage"/>
          </w:footnotePr>
          <w:pgSz w:w="11906" w:h="16838"/>
          <w:pgMar w:top="1134" w:right="1134" w:bottom="1134" w:left="1134" w:header="708" w:footer="708" w:gutter="0"/>
          <w:cols w:space="720"/>
        </w:sectPr>
      </w:pPr>
    </w:p>
    <w:p w14:paraId="206E1DC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8364"/>
        <w:rPr>
          <w:rFonts w:ascii="Times New Roman" w:hAnsi="Times New Roman" w:cs="Times New Roman"/>
          <w:b/>
        </w:rPr>
      </w:pPr>
      <w:r>
        <w:rPr>
          <w:rFonts w:ascii="Times New Roman" w:hAnsi="Times New Roman" w:cs="Times New Roman"/>
          <w:b/>
        </w:rPr>
        <w:lastRenderedPageBreak/>
        <w:t>УДК 347.15</w:t>
      </w:r>
    </w:p>
    <w:p w14:paraId="3B7A5648"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b/>
          <w:lang w:val="ru-RU"/>
        </w:rPr>
      </w:pPr>
    </w:p>
    <w:p w14:paraId="5F4CD7F4" w14:textId="77777777" w:rsidR="001B6C3B" w:rsidRPr="0074411C"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b/>
          <w:lang w:val="ru-RU"/>
        </w:rPr>
      </w:pPr>
      <w:r w:rsidRPr="0074411C">
        <w:rPr>
          <w:b/>
          <w:lang w:val="ru-RU"/>
        </w:rPr>
        <w:t>Чепак Дарья Дмитриевна</w:t>
      </w:r>
    </w:p>
    <w:p w14:paraId="220596A4"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lang w:val="ru-RU"/>
        </w:rPr>
      </w:pPr>
      <w:r>
        <w:t>Chepak</w:t>
      </w:r>
      <w:r>
        <w:rPr>
          <w:lang w:val="ru-RU"/>
        </w:rPr>
        <w:t xml:space="preserve"> </w:t>
      </w:r>
      <w:r>
        <w:t>Daria</w:t>
      </w:r>
      <w:r>
        <w:rPr>
          <w:lang w:val="ru-RU"/>
        </w:rPr>
        <w:t xml:space="preserve"> </w:t>
      </w:r>
      <w:r>
        <w:t>Dmitrievna</w:t>
      </w:r>
    </w:p>
    <w:p w14:paraId="4B70D3BD"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lang w:val="ru-RU"/>
        </w:rPr>
      </w:pPr>
      <w:r>
        <w:rPr>
          <w:lang w:val="ru-RU"/>
        </w:rPr>
        <w:t xml:space="preserve">«Кубанский государственный аграрный университет </w:t>
      </w:r>
    </w:p>
    <w:p w14:paraId="4277E269"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lang w:val="ru-RU"/>
        </w:rPr>
      </w:pPr>
      <w:r>
        <w:rPr>
          <w:lang w:val="ru-RU"/>
        </w:rPr>
        <w:t>им. И.Т. Трубилина»</w:t>
      </w:r>
    </w:p>
    <w:p w14:paraId="0C35AD71"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lang w:val="ru-RU"/>
        </w:rPr>
      </w:pPr>
      <w:r>
        <w:rPr>
          <w:lang w:val="ru-RU"/>
        </w:rPr>
        <w:t>Российская Федерация, г. Краснодар</w:t>
      </w:r>
    </w:p>
    <w:p w14:paraId="024B6C9F"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lang w:val="ru-RU"/>
        </w:rPr>
      </w:pPr>
      <w:r>
        <w:t>Chepak</w:t>
      </w:r>
      <w:r>
        <w:rPr>
          <w:lang w:val="ru-RU"/>
        </w:rPr>
        <w:t xml:space="preserve"> </w:t>
      </w:r>
      <w:r>
        <w:t>Darya</w:t>
      </w:r>
      <w:r>
        <w:rPr>
          <w:lang w:val="ru-RU"/>
        </w:rPr>
        <w:t xml:space="preserve"> </w:t>
      </w:r>
      <w:r>
        <w:t>Dmitrievna</w:t>
      </w:r>
    </w:p>
    <w:p w14:paraId="2292B574"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pPr>
      <w:r>
        <w:t>Bachelor of Federal State Budgetary</w:t>
      </w:r>
    </w:p>
    <w:p w14:paraId="7147E4A1"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pPr>
      <w:r>
        <w:t>  educational institution of higher education</w:t>
      </w:r>
    </w:p>
    <w:p w14:paraId="6E1ADBE3"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pPr>
      <w:r>
        <w:t>  "Kuban State Agrarian University</w:t>
      </w:r>
    </w:p>
    <w:p w14:paraId="177286C8"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pPr>
      <w:r>
        <w:t>them. I.T. Trubilina "</w:t>
      </w:r>
    </w:p>
    <w:p w14:paraId="1FA96F1D"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pPr>
      <w:r>
        <w:t>Russian Federation, Krasnodar</w:t>
      </w:r>
    </w:p>
    <w:p w14:paraId="421877D0" w14:textId="77777777" w:rsidR="001B6C3B" w:rsidRDefault="00EE7838"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lang w:val="ru-RU"/>
        </w:rPr>
      </w:pPr>
      <w:hyperlink r:id="rId49" w:history="1">
        <w:r w:rsidR="001B6C3B">
          <w:rPr>
            <w:rStyle w:val="a9"/>
            <w:sz w:val="23"/>
            <w:szCs w:val="23"/>
            <w:shd w:val="clear" w:color="auto" w:fill="FFFFFF"/>
          </w:rPr>
          <w:t>dchepak</w:t>
        </w:r>
        <w:r w:rsidR="001B6C3B">
          <w:rPr>
            <w:rStyle w:val="a9"/>
            <w:sz w:val="23"/>
            <w:szCs w:val="23"/>
            <w:shd w:val="clear" w:color="auto" w:fill="FFFFFF"/>
            <w:lang w:val="ru-RU"/>
          </w:rPr>
          <w:t>@</w:t>
        </w:r>
        <w:r w:rsidR="001B6C3B">
          <w:rPr>
            <w:rStyle w:val="a9"/>
            <w:sz w:val="23"/>
            <w:szCs w:val="23"/>
            <w:shd w:val="clear" w:color="auto" w:fill="FFFFFF"/>
          </w:rPr>
          <w:t>list</w:t>
        </w:r>
        <w:r w:rsidR="001B6C3B">
          <w:rPr>
            <w:rStyle w:val="a9"/>
            <w:sz w:val="23"/>
            <w:szCs w:val="23"/>
            <w:shd w:val="clear" w:color="auto" w:fill="FFFFFF"/>
            <w:lang w:val="ru-RU"/>
          </w:rPr>
          <w:t>.</w:t>
        </w:r>
        <w:r w:rsidR="001B6C3B">
          <w:rPr>
            <w:rStyle w:val="a9"/>
            <w:sz w:val="23"/>
            <w:szCs w:val="23"/>
            <w:shd w:val="clear" w:color="auto" w:fill="FFFFFF"/>
          </w:rPr>
          <w:t>ru</w:t>
        </w:r>
      </w:hyperlink>
    </w:p>
    <w:p w14:paraId="3FB93CF5"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lang w:val="ru-RU"/>
        </w:rPr>
      </w:pPr>
      <w:r>
        <w:rPr>
          <w:lang w:val="ru-RU"/>
        </w:rPr>
        <w:t>Научный руководитель</w:t>
      </w:r>
    </w:p>
    <w:p w14:paraId="4064470A"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lang w:val="ru-RU"/>
        </w:rPr>
      </w:pPr>
      <w:r>
        <w:rPr>
          <w:lang w:val="ru-RU"/>
        </w:rPr>
        <w:t>Попова Л.И.</w:t>
      </w:r>
    </w:p>
    <w:p w14:paraId="620621C6"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2267" w:firstLine="709"/>
        <w:jc w:val="right"/>
        <w:rPr>
          <w:b/>
          <w:lang w:val="ru-RU"/>
        </w:rPr>
      </w:pPr>
    </w:p>
    <w:p w14:paraId="204A8C49"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b/>
          <w:lang w:val="ru-RU"/>
        </w:rPr>
      </w:pPr>
      <w:r>
        <w:rPr>
          <w:b/>
          <w:lang w:val="ru-RU"/>
        </w:rPr>
        <w:t>КОМПЕНСАЦИЯ МОРАЛЬНОГО ВРЕДА КАК СПОСОБ ЗАЩИТЫ ГРАЖДАНСКИХ ПРАВ</w:t>
      </w:r>
    </w:p>
    <w:p w14:paraId="66F4A0D0"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b/>
          <w:lang w:val="ru-RU"/>
        </w:rPr>
      </w:pPr>
    </w:p>
    <w:p w14:paraId="51CA32AA"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b/>
        </w:rPr>
      </w:pPr>
      <w:r>
        <w:rPr>
          <w:b/>
        </w:rPr>
        <w:t>COMPENSATION FOR MORAL HARM AS A WAY TO PROTECT CIVIL RIGHTS</w:t>
      </w:r>
    </w:p>
    <w:p w14:paraId="55067B33"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p>
    <w:p w14:paraId="74B12C64"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ru-RU"/>
        </w:rPr>
      </w:pPr>
      <w:r>
        <w:rPr>
          <w:i/>
          <w:lang w:val="ru-RU"/>
        </w:rPr>
        <w:t>Аннотация:</w:t>
      </w:r>
      <w:r>
        <w:rPr>
          <w:lang w:val="ru-RU"/>
        </w:rPr>
        <w:t xml:space="preserve"> Моральный вред – это причинение человеку нравственных и физических страданий, нарушающих комфорт жизни, состояние здоровья. В Гражданском Кодексе предусмотрено, что причинение морального вреда связано с причинением физических и нравственных страданий, такой вред нарушает комфорт жизни, неимущественные права, а также посягает на нематериальные блага. О причинении морального вреда следует говорить при наличии страданий, причиненных лицу действиями или бездействием третьих лиц. Отличие морального вреда от имущественного носят субъективный характер, в связи с этим определить признаки морального вреда может быть достаточно сложно. В рамках данной статьи будет рассмотрено несколько наиболее точных и подходящих, по мнению автора, признаков морального вреда.</w:t>
      </w:r>
      <w:r>
        <w:rPr>
          <w:rStyle w:val="a7"/>
        </w:rPr>
        <w:footnoteReference w:id="371"/>
      </w:r>
    </w:p>
    <w:p w14:paraId="4C00E280"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ru-RU"/>
        </w:rPr>
      </w:pPr>
      <w:r>
        <w:rPr>
          <w:i/>
          <w:lang w:val="ru-RU"/>
        </w:rPr>
        <w:t>Ключевые слова:</w:t>
      </w:r>
      <w:r>
        <w:rPr>
          <w:lang w:val="ru-RU"/>
        </w:rPr>
        <w:t xml:space="preserve"> моральный вред, причинение, компенсация, размер, определение, обстоятельства, суд, доказательства.</w:t>
      </w:r>
    </w:p>
    <w:p w14:paraId="58FE312C"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
        <w:t>Resume: Moral harm is the infliction of moral and physical suffering on a person that violates the comfort of life, the state of health. The Civil Code provides that non-pecuniary damage is associated with inflicting physical and moral suffering, such harm violates the comfort of life, non-property rights, and also encroaches on intangible benefits. Moral infliction should be discussed in the presence of suffering caused to a person by actions or inaction of third parties. The difference between moral damage and property damage is subjective in nature, in this regard, to determine the signs of moral harm can be quite difficult. Within the framework of this article, several of the most accurate and suitable, according to the author, signs of moral harm will be considered.</w:t>
      </w:r>
    </w:p>
    <w:p w14:paraId="2AB15BAC"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
        <w:t>Key words: moral damage, infliction, compensation, size, determination, circumstances, court, evidence.</w:t>
      </w:r>
    </w:p>
    <w:p w14:paraId="7116A488"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p>
    <w:p w14:paraId="0CB2E773"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ru-RU"/>
        </w:rPr>
      </w:pPr>
      <w:r>
        <w:rPr>
          <w:lang w:val="ru-RU"/>
        </w:rPr>
        <w:t xml:space="preserve">Верховный Суд в своем определении № 10 от 20 декабря 1994 г. «Некоторые вопросы применения законодательства о компенсации морального вреда» предусматривал, что моральный вред связан с причинением нравственных и физических страданий посредством </w:t>
      </w:r>
      <w:r>
        <w:rPr>
          <w:lang w:val="ru-RU"/>
        </w:rPr>
        <w:lastRenderedPageBreak/>
        <w:t>действий и бездействия. Действия или бездействия, связанные с причинением морального вреда посягают на принадлежащие от рождения нематериальные блага: жизнь, здоровье, достоинство личности, деловую репутацию, неприкосновенность частной жизни, личную и семейную тайну. Также причинение морального вреда связано с нарушением личных неимущественных прав: право на использование своего имени, право авторства, а также нарушением имущественных прав.</w:t>
      </w:r>
    </w:p>
    <w:p w14:paraId="4665EBF0"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ru-RU"/>
        </w:rPr>
      </w:pPr>
      <w:r>
        <w:rPr>
          <w:lang w:val="ru-RU"/>
        </w:rPr>
        <w:t>Во-первых, следует обратить внимание на такой признак как нравственные страдания. Здесь речь идет о чувстве внутреннего психологического беспокойства, дискомфорта, переживания. Как правило, такое чувство связано со страхом, волнением, тревогой и раздражительностью, а также стыдом, подавленностью. Важно, что при определении морального вреда должны затрагиваться морально-психические составляющие человека.</w:t>
      </w:r>
    </w:p>
    <w:p w14:paraId="4F1922C3"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ru-RU"/>
        </w:rPr>
      </w:pPr>
      <w:r>
        <w:rPr>
          <w:lang w:val="ru-RU"/>
        </w:rPr>
        <w:t xml:space="preserve">Во-вторых, речь идет о таком признаке как нарушение чувства внутреннего психологического дискомфорта, когда переживания приводят к нарушению привычного стиля и восприятия жизни. </w:t>
      </w:r>
      <w:r>
        <w:rPr>
          <w:rStyle w:val="a7"/>
        </w:rPr>
        <w:footnoteReference w:id="372"/>
      </w:r>
    </w:p>
    <w:p w14:paraId="1257851C"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ru-RU"/>
        </w:rPr>
      </w:pPr>
      <w:r>
        <w:rPr>
          <w:lang w:val="ru-RU"/>
        </w:rPr>
        <w:t>В-третьих, моральный вреда может быть связан с физическими или физиологическими страданиями, которые выражены в боли, а также в иных неприятных явлениях. Такие страдания могут причиняться заболеваниями, травмами, а также воздействием таких факторов как высокая температура, ядовитые вещества. Несмотря на то, что наличие физических страданий не является обязательным элементом морального вреда, однако, их причинение всегда связано с нравственными страданиями. Иногда нравственные страдания могут проявлять на физическом уровне и доставлять дискомфорт, например, повышается артериальное давление, возникает тошнота, головная боль и лихорадка.</w:t>
      </w:r>
    </w:p>
    <w:p w14:paraId="429A36B9"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ru-RU"/>
        </w:rPr>
      </w:pPr>
      <w:r>
        <w:rPr>
          <w:lang w:val="ru-RU"/>
        </w:rPr>
        <w:t>Те же признаки выделял и Верховный Суд РФ, указывая, что моральный вред может быть вызван утратой родственника, невозможностью продолжать активную общественную жизнь, работу и занятие творчеством. Иногда моральный вред может быть причинен при раскрытии семейной или врачебной тайны, распространением порочащих честь и достоинство слухов, причинением увечья, заболевания в результате нравственных страданий.</w:t>
      </w:r>
    </w:p>
    <w:p w14:paraId="31322FD9"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ru-RU"/>
        </w:rPr>
      </w:pPr>
      <w:r>
        <w:rPr>
          <w:lang w:val="ru-RU"/>
        </w:rPr>
        <w:t>При причинении морального вреда гражданину суд возлагает на лицо, виновное в его причинении обязанность загладить вред посредством выплаты компенсации. Данный вид ответственности предусмотрен ст. 1099 – 1101 Гражданского Кодекса, который предусматривает взыскание компенсации в денежной форме. Поэтому ответственность за причинение морального вреда носит гражданско-правовой характер и выражается в выплате денежной компенсации в пользу пострадавшего лица.</w:t>
      </w:r>
      <w:r>
        <w:rPr>
          <w:rStyle w:val="a7"/>
        </w:rPr>
        <w:footnoteReference w:id="373"/>
      </w:r>
    </w:p>
    <w:p w14:paraId="6D626D19"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ru-RU"/>
        </w:rPr>
      </w:pPr>
      <w:r>
        <w:rPr>
          <w:lang w:val="ru-RU"/>
        </w:rPr>
        <w:t>Гражданский Кодекс предусматривает, что компенсация морального вреда осуществляется в денежной форме. Аналогичные положения предусмотрены Трудовым Кодексом, где компенсация морального вреда работнику также предусмотрена в виде денежного возмещения.</w:t>
      </w:r>
    </w:p>
    <w:p w14:paraId="74004D0B"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ru-RU"/>
        </w:rPr>
      </w:pPr>
      <w:r>
        <w:rPr>
          <w:lang w:val="ru-RU"/>
        </w:rPr>
        <w:t>Анализ судебной практики по делам о компенсации морального вреда предусматривает, что размер компенсации определяется исходя из соглашения сторон, заключенном в досудебном порядке, а также в соглашении о компенсации морального вреда, которое было заключено до совершения действий, причинивших моральный вред. Помимо этого, размер компенсации морального вреда определяется в судебном порядке, путем исследования и оценки предоставленных сторонами суду доказательств.</w:t>
      </w:r>
      <w:r>
        <w:rPr>
          <w:rStyle w:val="a7"/>
        </w:rPr>
        <w:footnoteReference w:id="374"/>
      </w:r>
    </w:p>
    <w:p w14:paraId="4A988DAA"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ru-RU"/>
        </w:rPr>
      </w:pPr>
      <w:r>
        <w:rPr>
          <w:lang w:val="ru-RU"/>
        </w:rPr>
        <w:t xml:space="preserve">Как правило, взыскание морального вреда в судебном порядке – это наиболее распространенный способ. В рамках рассмотрения спора о взыскании морального вреда в </w:t>
      </w:r>
      <w:r>
        <w:rPr>
          <w:lang w:val="ru-RU"/>
        </w:rPr>
        <w:lastRenderedPageBreak/>
        <w:t>судебном порядке используются положения ст. 1101 Гражданского Кодекса, предусматривающие, что размер компенсации определяется судом. Суд, при определении размера компенсации морального вреда исследует характер причиненных потерпевшему физических и нравственных страданий. К примеру, по одному из дел, суд, определяя размер компенсации, исходил из того, что в результате действий ответчика истцу были причинены телесные повреждения, не повлекшие долговременного расстройства здоровья и утрату трудоспособности. Степень нравственных или физических страданий оценивается с учетом фактических обстоятельств причинения морального вреда, индивидуальных особенностей потерпевшего и иных конкретных обстоятельств, указывающих на тяжесть перенесенных страданий.</w:t>
      </w:r>
    </w:p>
    <w:p w14:paraId="597F9789"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ru-RU"/>
        </w:rPr>
      </w:pPr>
      <w:r>
        <w:rPr>
          <w:lang w:val="ru-RU"/>
        </w:rPr>
        <w:t xml:space="preserve">Кроме того, разрешая вопрос об определении размера компенсации морального вреда, суд должен принимать во внимание наличие причинно-следственной связи между действами или бездействиями, которыми причинен вред и наступлением вреда. К примеру, в обосновании размера компенсации морального вреда потерпевший указал, что противоправными действиями ему был причинен вред, повлекший за собой ухудшение зрения. </w:t>
      </w:r>
    </w:p>
    <w:p w14:paraId="0EE54860"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ru-RU"/>
        </w:rPr>
      </w:pPr>
      <w:r>
        <w:rPr>
          <w:lang w:val="ru-RU"/>
        </w:rPr>
        <w:t>Результаты медицинской экспертизы, проведенной по данному делу, носили вероятностный характер, а выводы эксперта вызывали у суда вопросы, поскольку было указано, что ухудшение состояния могло быть вызвано различными факторами, в том числе и стрессовой ситуацией. По мнению суда, выводы эксперта не подтвердили наличие причинно-следственной связи, суд не нашел в выводах экспертизы причинно-следственную связь между противоправными действиями и наступлением расстройства зрения, в виду недоказанности причинно-следственной связи, суд не принял во внимание выводы эксперта и взыскал компенсацию морального вреда, исхода из других обстоятельств по делу.</w:t>
      </w:r>
      <w:r>
        <w:rPr>
          <w:rStyle w:val="a7"/>
        </w:rPr>
        <w:footnoteReference w:id="375"/>
      </w:r>
    </w:p>
    <w:p w14:paraId="0D164A0B"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lang w:val="ru-RU"/>
        </w:rPr>
      </w:pPr>
      <w:r>
        <w:rPr>
          <w:bCs/>
          <w:lang w:val="ru-RU"/>
        </w:rPr>
        <w:t>Следующим фактором, влияющим на оценку судом размера компенсации морального вреда является степень вины причинителя вреда. Данное обстоятельство не требует подтверждения, если компенсация морального вреда предусмотрена законом вне зависимости от наличия вины. При определении размера компенсации суд должен учитывать, что во внимание необходимо принимать степень вины. Данное условие связано с наличием у лица возможности принять меры по соблюдению необходимых условий, например, обеспечения приватности при медицинском осмотре.</w:t>
      </w:r>
      <w:r>
        <w:rPr>
          <w:rStyle w:val="a7"/>
          <w:bCs/>
        </w:rPr>
        <w:footnoteReference w:id="376"/>
      </w:r>
    </w:p>
    <w:p w14:paraId="2B234032"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lang w:val="ru-RU"/>
        </w:rPr>
      </w:pPr>
      <w:r>
        <w:rPr>
          <w:bCs/>
          <w:lang w:val="ru-RU"/>
        </w:rPr>
        <w:t>При этом законом предусмотрены случаи, когда компенсация морального вреда должна присуждаться вне зависимости от степени вины. В частности, речь идет о причинении вреда жизни и здоровью гражданина источником повышенной опасности, о причинении вреда в виду незаконного осуждения, незаконного привлечения к уголовной ответственности, применения меры пресечения, наложения взыскания. Не требуется установления вины для присуждения компенсации морального вреда в случае распространения сведений, порочащих честь, достоинство и деловую репутацию.</w:t>
      </w:r>
      <w:r>
        <w:rPr>
          <w:rStyle w:val="a7"/>
          <w:bCs/>
        </w:rPr>
        <w:footnoteReference w:id="377"/>
      </w:r>
    </w:p>
    <w:p w14:paraId="02627A7C"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ru-RU"/>
        </w:rPr>
      </w:pPr>
      <w:r>
        <w:rPr>
          <w:lang w:val="ru-RU"/>
        </w:rPr>
        <w:t xml:space="preserve">Моральные и физические страдания носят субъективный характер, они связаны с особенностями психики, эмоциональной устойчивостью каждого конкретного человека – данные показатели носят субъективный характер, поэтому, в отличие от имущественного вреда, их трудно оценить или измерить. Отсюда суд сталкивается с затруднениями, обусловленными необходимостью исследования фактических обстоятельств причинения вреда, например, суд указал, что оскорбление нанесено публично – виновный прилюдно </w:t>
      </w:r>
      <w:r>
        <w:rPr>
          <w:lang w:val="ru-RU"/>
        </w:rPr>
        <w:lastRenderedPageBreak/>
        <w:t>ударил потерпевшую, которая была беременна. В результате сильного стресса и душевного волнения, она была доставлена с больницу.</w:t>
      </w:r>
      <w:r>
        <w:rPr>
          <w:rStyle w:val="a7"/>
        </w:rPr>
        <w:footnoteReference w:id="378"/>
      </w:r>
    </w:p>
    <w:p w14:paraId="1701A2FE"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ru-RU"/>
        </w:rPr>
      </w:pPr>
      <w:r>
        <w:rPr>
          <w:lang w:val="ru-RU"/>
        </w:rPr>
        <w:t>Кроме того, суд должен принимать во внимание поведение виновного лица в момент причинения вреда, к примеру, суд снизил размер компенсации морального вреда, указав, что истец, находясь в машине, не пристегнулся ремнем безопасности, поэтому его собственные бездействие увеличило шансы на получение травмы и усугубило их тяжесть.</w:t>
      </w:r>
      <w:r>
        <w:rPr>
          <w:rStyle w:val="a7"/>
        </w:rPr>
        <w:footnoteReference w:id="379"/>
      </w:r>
    </w:p>
    <w:p w14:paraId="34D6A9BE"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ru-RU"/>
        </w:rPr>
      </w:pPr>
      <w:r>
        <w:rPr>
          <w:lang w:val="ru-RU"/>
        </w:rPr>
        <w:t>Суд, оценивая размер компенсации морального вреда, должен принимать во внимание индивидуальные особенности потерпевшего, например, виновное лицо причинило физический вред потерпевшему – нанесло удар в ранее травмированное колено, в результате у потерпевшего возникли продолжающиеся боли, потребовавшие длительного лечения и восстановления. Вследствие этого, нравственные страдания потерпевшего также длились дольше.</w:t>
      </w:r>
      <w:r>
        <w:rPr>
          <w:rStyle w:val="a7"/>
        </w:rPr>
        <w:footnoteReference w:id="380"/>
      </w:r>
      <w:r>
        <w:rPr>
          <w:lang w:val="ru-RU"/>
        </w:rPr>
        <w:t xml:space="preserve"> В другом деле, схожем по обстоятельствам причинения физических и нравственных страданий, суд принял во внимание, что потерпевший длительное время профессионально занимается спортом, а тренировки требуют от него длительных физических нагрузок. Получение в результате нападения виновного лица травмы, стало препятствием для осуществления профессиональной деятельности и лишило потерпевшего возможности реализовать право на труд.</w:t>
      </w:r>
      <w:r>
        <w:rPr>
          <w:rStyle w:val="a7"/>
        </w:rPr>
        <w:footnoteReference w:id="381"/>
      </w:r>
    </w:p>
    <w:p w14:paraId="2A3AA2BC"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ru-RU"/>
        </w:rPr>
      </w:pPr>
      <w:r>
        <w:rPr>
          <w:lang w:val="ru-RU"/>
        </w:rPr>
        <w:t xml:space="preserve">Таким образом, компенсация морального вреда определяется судом исходя из каждого конкретного случая и с учетом обстоятельств дела. Однако при определении всегда важно руководствоваться принципами разумности,  справедливости, поэтому судебные акты о присуждении компенсации часто отменяются ввиду несоразмерности или несправедливости суммы компенсации. </w:t>
      </w:r>
    </w:p>
    <w:p w14:paraId="2681CF6E"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ru-RU"/>
        </w:rPr>
      </w:pPr>
      <w:r>
        <w:rPr>
          <w:lang w:val="ru-RU"/>
        </w:rPr>
        <w:t>К примеру, суд апелляционной инстанции при пересмотре решения суда первой инстанции в части размера суммы компенсации морального вреда, с учетом того, что в апелляционной жалобе было указано, что размер занижен, указал, что суд первой инстанции при определении размера компенсации должен был учесть длительность сроков незаконного уголовного преследования, характер нравственных страданий, состояние здоровья, возраст, а также требования о разумности и справедливости. В результате суд апелляционной инстанции увеличил размер суммы компенсации морального вреда.</w:t>
      </w:r>
      <w:r>
        <w:rPr>
          <w:rStyle w:val="a7"/>
        </w:rPr>
        <w:footnoteReference w:id="382"/>
      </w:r>
    </w:p>
    <w:p w14:paraId="5CFF6D3A"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ru-RU"/>
        </w:rPr>
      </w:pPr>
      <w:r>
        <w:rPr>
          <w:lang w:val="ru-RU"/>
        </w:rPr>
        <w:t>Для взыскания компенсации морального вреда необходимо обратиться в суд в порядке искового производства. Зачастую требования о компенсации морального вреда сочетаются с требованиями иного характера, однако допускается и самостоятельное обращение с такими требованиями. Исковое заявление о компенсации морального вреда в общем порядке, предусмотренном статьями 131 и 132 Гражданского процессуального Кодекса, в частности, оно должно содержать информацию о причинителе вреда, обстоятельства, при которых вред был причинен, указание, в чем выражается причинение морального вреда, какие именно страдания испытал истец. Однако, не при всех обстоятельствах такие доказательства нужны, например, если речь идет о трудовых спорах, до достаточно самого факта причинения и договора, в котором предусмотрено условие о компенсации морального вреда.</w:t>
      </w:r>
      <w:r>
        <w:rPr>
          <w:rStyle w:val="a7"/>
        </w:rPr>
        <w:footnoteReference w:id="383"/>
      </w:r>
    </w:p>
    <w:p w14:paraId="4E0E21BC"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ru-RU"/>
        </w:rPr>
      </w:pPr>
      <w:r>
        <w:rPr>
          <w:lang w:val="ru-RU"/>
        </w:rPr>
        <w:t xml:space="preserve">Таким образом. Моральный вред – это страдания, которые причинены в результате действия или бездействия третьих лиц, результатом которых стало нарушение прав, свобод, </w:t>
      </w:r>
      <w:r>
        <w:rPr>
          <w:lang w:val="ru-RU"/>
        </w:rPr>
        <w:lastRenderedPageBreak/>
        <w:t>законных интересов. Моральный вред включает в себя два признака: наличие физических и нравственных страданий. Ответственность за причинение морального вреда всегда носит гражданско-правовой характер, в виде выплаты денежной компенсации. Выплата компенсации может производиться в договорном или судебном порядке. В судебном порядке размер выплаты компенсации определяется судом, исходя из обстоятельств по делу, обстоятельств причинения вреда, а также индивидуальных особенностей потерпевших.</w:t>
      </w:r>
    </w:p>
    <w:p w14:paraId="0F311712"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ru-RU"/>
        </w:rPr>
      </w:pPr>
    </w:p>
    <w:p w14:paraId="694EC4FC"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b/>
          <w:lang w:val="ru-RU"/>
        </w:rPr>
      </w:pPr>
      <w:r>
        <w:rPr>
          <w:b/>
          <w:lang w:val="ru-RU"/>
        </w:rPr>
        <w:t>Библиографический список</w:t>
      </w:r>
    </w:p>
    <w:p w14:paraId="0DE7E146" w14:textId="77777777" w:rsidR="001B6C3B" w:rsidRPr="0074411C"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ru-RU"/>
        </w:rPr>
      </w:pPr>
    </w:p>
    <w:p w14:paraId="13B9F939" w14:textId="77777777" w:rsidR="001B6C3B" w:rsidRPr="0074411C"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rPr>
      </w:pPr>
      <w:r w:rsidRPr="0074411C">
        <w:rPr>
          <w:rFonts w:ascii="Times New Roman" w:hAnsi="Times New Roman" w:cs="Times New Roman"/>
          <w:sz w:val="24"/>
          <w:szCs w:val="24"/>
          <w:shd w:val="clear" w:color="auto" w:fill="FFFFFF"/>
        </w:rPr>
        <w:t>1. Анищенко А.В. Моральный вред // Налоговый вестник - Консультации. Разъяснения. Мнения. – 2019. – № 12.</w:t>
      </w:r>
    </w:p>
    <w:p w14:paraId="609ABB6C" w14:textId="77777777" w:rsidR="001B6C3B" w:rsidRPr="0074411C" w:rsidRDefault="001B6C3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shd w:val="clear" w:color="auto" w:fill="FFFFFF"/>
        </w:rPr>
      </w:pPr>
      <w:r w:rsidRPr="0074411C">
        <w:rPr>
          <w:rFonts w:ascii="Times New Roman" w:hAnsi="Times New Roman" w:cs="Times New Roman"/>
          <w:sz w:val="24"/>
          <w:szCs w:val="24"/>
          <w:shd w:val="clear" w:color="auto" w:fill="FFFFFF"/>
        </w:rPr>
        <w:t xml:space="preserve">2. Моисеева О. В. Проблемы компенсации морального вреда // Российский судья. – 2019. – № 6. </w:t>
      </w:r>
    </w:p>
    <w:p w14:paraId="2B151586" w14:textId="77777777" w:rsidR="001B6C3B" w:rsidRPr="0074411C"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EastAsia" w:hAnsi="Times New Roman" w:cs="Times New Roman"/>
          <w:sz w:val="24"/>
          <w:szCs w:val="24"/>
          <w:shd w:val="clear" w:color="auto" w:fill="FFFFFF"/>
          <w:lang w:eastAsia="ru-RU"/>
        </w:rPr>
        <w:sectPr w:rsidR="001B6C3B" w:rsidRPr="0074411C">
          <w:footnotePr>
            <w:numRestart w:val="eachPage"/>
          </w:footnotePr>
          <w:pgSz w:w="11906" w:h="16838"/>
          <w:pgMar w:top="1134" w:right="1134" w:bottom="1134" w:left="1134" w:header="708" w:footer="708" w:gutter="0"/>
          <w:cols w:space="720"/>
        </w:sectPr>
      </w:pPr>
    </w:p>
    <w:p w14:paraId="62E76FBF" w14:textId="77777777" w:rsidR="001B6C3B" w:rsidRPr="00430C1C"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jc w:val="both"/>
        <w:rPr>
          <w:iCs/>
          <w:lang w:val="ru-RU"/>
        </w:rPr>
      </w:pPr>
      <w:r w:rsidRPr="00430C1C">
        <w:rPr>
          <w:i/>
          <w:iCs/>
          <w:lang w:val="ru-RU"/>
        </w:rPr>
        <w:lastRenderedPageBreak/>
        <w:t>УДК 347.19</w:t>
      </w:r>
    </w:p>
    <w:p w14:paraId="63B6E9D2" w14:textId="77777777" w:rsidR="001B6C3B" w:rsidRPr="00430C1C"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left="5103"/>
        <w:jc w:val="both"/>
        <w:rPr>
          <w:rFonts w:ascii="Times New Roman" w:hAnsi="Times New Roman" w:cs="Times New Roman"/>
          <w:b/>
          <w:sz w:val="24"/>
          <w:szCs w:val="24"/>
        </w:rPr>
      </w:pPr>
      <w:r w:rsidRPr="00430C1C">
        <w:rPr>
          <w:rFonts w:ascii="Times New Roman" w:hAnsi="Times New Roman" w:cs="Times New Roman"/>
          <w:b/>
          <w:sz w:val="24"/>
          <w:szCs w:val="24"/>
        </w:rPr>
        <w:t>Чернышева Софья Александровна</w:t>
      </w:r>
    </w:p>
    <w:p w14:paraId="7B350BA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left="5103"/>
        <w:jc w:val="both"/>
        <w:rPr>
          <w:rFonts w:ascii="Times New Roman" w:hAnsi="Times New Roman" w:cs="Times New Roman"/>
          <w:b/>
          <w:sz w:val="24"/>
          <w:szCs w:val="24"/>
        </w:rPr>
      </w:pPr>
      <w:r>
        <w:rPr>
          <w:rFonts w:ascii="Times New Roman" w:hAnsi="Times New Roman" w:cs="Times New Roman"/>
          <w:b/>
          <w:sz w:val="24"/>
          <w:szCs w:val="24"/>
          <w:lang w:val="en-US"/>
        </w:rPr>
        <w:t>Chernysheva</w:t>
      </w:r>
      <w:r w:rsidRPr="00430C1C">
        <w:rPr>
          <w:rFonts w:ascii="Times New Roman" w:hAnsi="Times New Roman" w:cs="Times New Roman"/>
          <w:b/>
          <w:sz w:val="24"/>
          <w:szCs w:val="24"/>
        </w:rPr>
        <w:t xml:space="preserve"> </w:t>
      </w:r>
      <w:r>
        <w:rPr>
          <w:rFonts w:ascii="Times New Roman" w:hAnsi="Times New Roman" w:cs="Times New Roman"/>
          <w:b/>
          <w:sz w:val="24"/>
          <w:szCs w:val="24"/>
          <w:lang w:val="en-US"/>
        </w:rPr>
        <w:t>Sofya</w:t>
      </w:r>
      <w:r w:rsidRPr="00430C1C">
        <w:rPr>
          <w:rFonts w:ascii="Times New Roman" w:hAnsi="Times New Roman" w:cs="Times New Roman"/>
          <w:b/>
          <w:sz w:val="24"/>
          <w:szCs w:val="24"/>
        </w:rPr>
        <w:t xml:space="preserve"> </w:t>
      </w:r>
      <w:r>
        <w:rPr>
          <w:rFonts w:ascii="Times New Roman" w:hAnsi="Times New Roman" w:cs="Times New Roman"/>
          <w:b/>
          <w:sz w:val="24"/>
          <w:szCs w:val="24"/>
          <w:lang w:val="en-US"/>
        </w:rPr>
        <w:t>Alexandrovna</w:t>
      </w:r>
    </w:p>
    <w:p w14:paraId="3D0D1B3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103"/>
        <w:jc w:val="both"/>
        <w:rPr>
          <w:rFonts w:ascii="Times New Roman" w:hAnsi="Times New Roman" w:cs="Times New Roman"/>
          <w:sz w:val="24"/>
          <w:szCs w:val="24"/>
        </w:rPr>
      </w:pPr>
      <w:r>
        <w:rPr>
          <w:rFonts w:ascii="Times New Roman" w:hAnsi="Times New Roman" w:cs="Times New Roman"/>
          <w:sz w:val="24"/>
          <w:szCs w:val="24"/>
        </w:rPr>
        <w:t>Федеральное государственное бюджетное образовательное учреждение высшего образования «Кубанский государственный аграрный университет имени И.Т. Трубилина»</w:t>
      </w:r>
    </w:p>
    <w:p w14:paraId="3ADA48D4"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jc w:val="both"/>
        <w:rPr>
          <w:lang w:eastAsia="en-US"/>
        </w:rPr>
      </w:pPr>
      <w:r>
        <w:rPr>
          <w:lang w:eastAsia="en-US"/>
        </w:rPr>
        <w:t>Federal State Budgetary Educational Institution of Higher Education</w:t>
      </w:r>
    </w:p>
    <w:p w14:paraId="6328AECD"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jc w:val="both"/>
        <w:rPr>
          <w:lang w:eastAsia="en-US"/>
        </w:rPr>
      </w:pPr>
      <w:r>
        <w:rPr>
          <w:lang w:eastAsia="en-US"/>
        </w:rPr>
        <w:t>«Kuban State Agrarian University named after I.T. Trubilin»</w:t>
      </w:r>
    </w:p>
    <w:p w14:paraId="2AC6DABF"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jc w:val="both"/>
        <w:rPr>
          <w:lang w:val="ru-RU" w:eastAsia="en-US"/>
        </w:rPr>
      </w:pPr>
      <w:r>
        <w:rPr>
          <w:lang w:val="ru-RU" w:eastAsia="en-US"/>
        </w:rPr>
        <w:t>Российская Федерация, г. Краснодар</w:t>
      </w:r>
    </w:p>
    <w:p w14:paraId="29C296EC"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jc w:val="both"/>
        <w:rPr>
          <w:lang w:val="ru-RU" w:eastAsia="en-US"/>
        </w:rPr>
      </w:pPr>
      <w:r>
        <w:rPr>
          <w:lang w:eastAsia="en-US"/>
        </w:rPr>
        <w:t>Russian</w:t>
      </w:r>
      <w:r>
        <w:rPr>
          <w:lang w:val="ru-RU" w:eastAsia="en-US"/>
        </w:rPr>
        <w:t xml:space="preserve"> </w:t>
      </w:r>
      <w:r>
        <w:rPr>
          <w:lang w:eastAsia="en-US"/>
        </w:rPr>
        <w:t>Federation</w:t>
      </w:r>
      <w:r>
        <w:rPr>
          <w:lang w:val="ru-RU" w:eastAsia="en-US"/>
        </w:rPr>
        <w:t xml:space="preserve">, </w:t>
      </w:r>
      <w:r>
        <w:rPr>
          <w:lang w:eastAsia="en-US"/>
        </w:rPr>
        <w:t>Krasnodar</w:t>
      </w:r>
    </w:p>
    <w:p w14:paraId="2924A4C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103"/>
        <w:jc w:val="both"/>
        <w:rPr>
          <w:rFonts w:ascii="Times New Roman" w:hAnsi="Times New Roman" w:cs="Times New Roman"/>
          <w:sz w:val="24"/>
          <w:szCs w:val="24"/>
        </w:rPr>
      </w:pPr>
      <w:r>
        <w:rPr>
          <w:rFonts w:ascii="Times New Roman" w:hAnsi="Times New Roman" w:cs="Times New Roman"/>
          <w:sz w:val="24"/>
          <w:szCs w:val="24"/>
          <w:lang w:val="en-US"/>
        </w:rPr>
        <w:t>ch</w:t>
      </w:r>
      <w:r>
        <w:rPr>
          <w:rFonts w:ascii="Times New Roman" w:hAnsi="Times New Roman" w:cs="Times New Roman"/>
          <w:sz w:val="24"/>
          <w:szCs w:val="24"/>
        </w:rPr>
        <w:t>_</w:t>
      </w:r>
      <w:r>
        <w:rPr>
          <w:rFonts w:ascii="Times New Roman" w:hAnsi="Times New Roman" w:cs="Times New Roman"/>
          <w:sz w:val="24"/>
          <w:szCs w:val="24"/>
          <w:lang w:val="en-US"/>
        </w:rPr>
        <w:t>sofya</w:t>
      </w:r>
      <w:r>
        <w:rPr>
          <w:rFonts w:ascii="Times New Roman" w:hAnsi="Times New Roman" w:cs="Times New Roman"/>
          <w:sz w:val="24"/>
          <w:szCs w:val="24"/>
        </w:rPr>
        <w:t>@</w:t>
      </w:r>
      <w:r>
        <w:rPr>
          <w:rFonts w:ascii="Times New Roman" w:hAnsi="Times New Roman" w:cs="Times New Roman"/>
          <w:sz w:val="24"/>
          <w:szCs w:val="24"/>
          <w:lang w:val="en-US"/>
        </w:rPr>
        <w:t>mail</w:t>
      </w:r>
      <w:r>
        <w:rPr>
          <w:rFonts w:ascii="Times New Roman" w:hAnsi="Times New Roman" w:cs="Times New Roman"/>
          <w:sz w:val="24"/>
          <w:szCs w:val="24"/>
        </w:rPr>
        <w:t>.</w:t>
      </w:r>
      <w:r>
        <w:rPr>
          <w:rFonts w:ascii="Times New Roman" w:hAnsi="Times New Roman" w:cs="Times New Roman"/>
          <w:sz w:val="24"/>
          <w:szCs w:val="24"/>
          <w:lang w:val="en-US"/>
        </w:rPr>
        <w:t>ru</w:t>
      </w:r>
    </w:p>
    <w:p w14:paraId="7DD2B70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103"/>
        <w:jc w:val="both"/>
        <w:rPr>
          <w:rFonts w:ascii="Times New Roman" w:hAnsi="Times New Roman" w:cs="Times New Roman"/>
          <w:sz w:val="24"/>
          <w:szCs w:val="24"/>
        </w:rPr>
      </w:pPr>
      <w:r>
        <w:rPr>
          <w:rFonts w:ascii="Times New Roman" w:hAnsi="Times New Roman" w:cs="Times New Roman"/>
          <w:sz w:val="24"/>
          <w:szCs w:val="24"/>
        </w:rPr>
        <w:t>научный руководитель:</w:t>
      </w:r>
    </w:p>
    <w:p w14:paraId="17C4FCC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103"/>
        <w:jc w:val="both"/>
        <w:rPr>
          <w:rFonts w:ascii="Times New Roman" w:hAnsi="Times New Roman" w:cs="Times New Roman"/>
          <w:sz w:val="24"/>
          <w:szCs w:val="24"/>
        </w:rPr>
      </w:pPr>
      <w:r>
        <w:rPr>
          <w:rFonts w:ascii="Times New Roman" w:hAnsi="Times New Roman" w:cs="Times New Roman"/>
          <w:sz w:val="24"/>
          <w:szCs w:val="24"/>
        </w:rPr>
        <w:t>Попова Л.И., к.ю.н.</w:t>
      </w:r>
    </w:p>
    <w:p w14:paraId="7B227220"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p>
    <w:p w14:paraId="73811DE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hAnsi="Times New Roman" w:cs="Times New Roman"/>
          <w:b/>
          <w:sz w:val="24"/>
          <w:szCs w:val="24"/>
        </w:rPr>
      </w:pPr>
      <w:r>
        <w:rPr>
          <w:rFonts w:ascii="Times New Roman" w:hAnsi="Times New Roman" w:cs="Times New Roman"/>
          <w:b/>
          <w:sz w:val="24"/>
          <w:szCs w:val="24"/>
        </w:rPr>
        <w:t>ВИДЫ АФФИЛИРОВАННЫХ ЛИЦ</w:t>
      </w:r>
    </w:p>
    <w:p w14:paraId="3B65E0F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hAnsi="Times New Roman" w:cs="Times New Roman"/>
          <w:b/>
          <w:sz w:val="24"/>
          <w:szCs w:val="24"/>
        </w:rPr>
      </w:pPr>
      <w:r>
        <w:rPr>
          <w:rFonts w:ascii="Times New Roman" w:hAnsi="Times New Roman" w:cs="Times New Roman"/>
          <w:b/>
          <w:sz w:val="24"/>
          <w:szCs w:val="24"/>
        </w:rPr>
        <w:t>TYPES OF AFFILIATES</w:t>
      </w:r>
    </w:p>
    <w:p w14:paraId="4E73614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
          <w:sz w:val="24"/>
          <w:szCs w:val="24"/>
        </w:rPr>
      </w:pPr>
    </w:p>
    <w:p w14:paraId="3B67D7E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
          <w:sz w:val="24"/>
          <w:szCs w:val="24"/>
        </w:rPr>
      </w:pPr>
      <w:r>
        <w:rPr>
          <w:rFonts w:ascii="Times New Roman" w:hAnsi="Times New Roman" w:cs="Times New Roman"/>
          <w:i/>
          <w:sz w:val="24"/>
          <w:szCs w:val="24"/>
        </w:rPr>
        <w:t xml:space="preserve">Аннотация: </w:t>
      </w:r>
      <w:r>
        <w:rPr>
          <w:rFonts w:ascii="Times New Roman" w:hAnsi="Times New Roman" w:cs="Times New Roman"/>
          <w:sz w:val="24"/>
          <w:szCs w:val="24"/>
        </w:rPr>
        <w:t xml:space="preserve">Хозяйствующие субъекты зачастую сталкиваются с оказанием влияния на их деятельность, на процесс формирования их воли. Возникающие отношения зависимости или связанности в современном законодательстве определяют как аффилированность. На практике немаловажную роль играет выявление аффилированных лиц и раскрытие информации о них, в том числе в целях защиты конкуренции. Однако на сегодняшний день российское законодательство об аффилированных лицах носит лишь фрагментарный, усеченный характер, тем самым создавая определенные трудности при определении аффилированных лиц. </w:t>
      </w:r>
    </w:p>
    <w:p w14:paraId="19D397F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
          <w:sz w:val="24"/>
          <w:szCs w:val="24"/>
        </w:rPr>
      </w:pPr>
      <w:r>
        <w:rPr>
          <w:rFonts w:ascii="Times New Roman" w:hAnsi="Times New Roman" w:cs="Times New Roman"/>
          <w:bCs/>
          <w:i/>
          <w:sz w:val="24"/>
          <w:szCs w:val="24"/>
        </w:rPr>
        <w:t>Ключевые слова</w:t>
      </w:r>
      <w:r>
        <w:rPr>
          <w:rFonts w:ascii="Times New Roman" w:hAnsi="Times New Roman" w:cs="Times New Roman"/>
          <w:i/>
          <w:sz w:val="24"/>
          <w:szCs w:val="24"/>
        </w:rPr>
        <w:t xml:space="preserve">: </w:t>
      </w:r>
      <w:r>
        <w:rPr>
          <w:rFonts w:ascii="Times New Roman" w:hAnsi="Times New Roman" w:cs="Times New Roman"/>
          <w:sz w:val="24"/>
          <w:szCs w:val="24"/>
        </w:rPr>
        <w:t>аффилированность; аффилированные лица; заинтересованность; группа лиц.</w:t>
      </w:r>
    </w:p>
    <w:p w14:paraId="65796B5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vertAlign w:val="subscript"/>
          <w:lang w:val="en-US"/>
        </w:rPr>
      </w:pPr>
      <w:r>
        <w:rPr>
          <w:rStyle w:val="FontStyle19"/>
          <w:sz w:val="24"/>
          <w:szCs w:val="24"/>
          <w:lang w:val="en-US"/>
        </w:rPr>
        <w:t xml:space="preserve">Аnnotation: </w:t>
      </w:r>
      <w:r>
        <w:rPr>
          <w:rFonts w:ascii="Times New Roman" w:hAnsi="Times New Roman" w:cs="Times New Roman"/>
          <w:sz w:val="24"/>
          <w:szCs w:val="24"/>
          <w:lang w:val="en-US"/>
        </w:rPr>
        <w:t>Business entities are often faced with the impact on their activities, on the process of forming their will.  Emerging relationships of dependence or connectedness in modern law are defined as affiliation.  In practice, the identification of affiliates and the disclosure of information about them plays an important role, including in order to protect competition.  However, to date, Russian legislation on affiliates is only fragmented, truncated, thereby creating certain difficulties in determining affiliates.</w:t>
      </w:r>
    </w:p>
    <w:p w14:paraId="7E16F00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lang w:val="en-US"/>
        </w:rPr>
      </w:pPr>
      <w:r>
        <w:rPr>
          <w:rStyle w:val="FontStyle19"/>
          <w:sz w:val="24"/>
          <w:szCs w:val="24"/>
          <w:lang w:val="en-US"/>
        </w:rPr>
        <w:t>Keywords:</w:t>
      </w:r>
      <w:r>
        <w:rPr>
          <w:rFonts w:ascii="Times New Roman" w:hAnsi="Times New Roman" w:cs="Times New Roman"/>
          <w:sz w:val="24"/>
          <w:szCs w:val="24"/>
          <w:lang w:val="en-US"/>
        </w:rPr>
        <w:t xml:space="preserve"> </w:t>
      </w:r>
      <w:r>
        <w:rPr>
          <w:rStyle w:val="FontStyle19"/>
          <w:sz w:val="24"/>
          <w:szCs w:val="24"/>
          <w:lang w:val="en-US"/>
        </w:rPr>
        <w:t>affiliation; affiliates; interest; group of persons.</w:t>
      </w:r>
    </w:p>
    <w:p w14:paraId="5103CC3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lang w:val="en-US"/>
        </w:rPr>
      </w:pPr>
    </w:p>
    <w:p w14:paraId="19BEE58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Базовой категорией, отражающей экономическую зависимость субъектов предпринимательской деятельности, в отечественном законодательстве стало понятие «аффилированность», позаимствованное из англосаксонского права в целях дачи определения способности одних лиц влиять на решения других лиц, осуществляющих предпринимательскую деятельность</w:t>
      </w:r>
      <w:r>
        <w:rPr>
          <w:rFonts w:ascii="Times New Roman" w:hAnsi="Times New Roman" w:cs="Times New Roman"/>
          <w:sz w:val="24"/>
          <w:szCs w:val="24"/>
          <w:vertAlign w:val="superscript"/>
        </w:rPr>
        <w:footnoteReference w:id="384"/>
      </w:r>
      <w:r>
        <w:rPr>
          <w:rFonts w:ascii="Times New Roman" w:hAnsi="Times New Roman" w:cs="Times New Roman"/>
          <w:sz w:val="24"/>
          <w:szCs w:val="24"/>
        </w:rPr>
        <w:t xml:space="preserve">. </w:t>
      </w:r>
    </w:p>
    <w:p w14:paraId="4B791E3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Федеральным законом от 05.05.2014 № 99-ФЗ «О внесении изменений в главу 4 Гражданского кодекса Российской Федерации и о признании утратившими силу отдельных положений законодательных актов Российской Федерации» введена статья 53.2 – «Аффилированность». Если Гражданский кодекс РФ ставит наступление правовых последствий в зависимость от наличия между лицами отношений связанности </w:t>
      </w:r>
      <w:r>
        <w:rPr>
          <w:rFonts w:ascii="Times New Roman" w:hAnsi="Times New Roman" w:cs="Times New Roman"/>
          <w:sz w:val="24"/>
          <w:szCs w:val="24"/>
        </w:rPr>
        <w:lastRenderedPageBreak/>
        <w:t>(аффилированности), наличие или отсутствие таких отношений определяется в соответствии с законом</w:t>
      </w:r>
      <w:r>
        <w:rPr>
          <w:rFonts w:ascii="Times New Roman" w:hAnsi="Times New Roman" w:cs="Times New Roman"/>
          <w:sz w:val="24"/>
          <w:szCs w:val="24"/>
          <w:vertAlign w:val="superscript"/>
        </w:rPr>
        <w:footnoteReference w:id="385"/>
      </w:r>
      <w:r>
        <w:rPr>
          <w:rFonts w:ascii="Times New Roman" w:hAnsi="Times New Roman" w:cs="Times New Roman"/>
          <w:sz w:val="24"/>
          <w:szCs w:val="24"/>
        </w:rPr>
        <w:t>.</w:t>
      </w:r>
    </w:p>
    <w:p w14:paraId="00886B6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Данная норма носит отсылочный характер, не раскрывая в полной мере сущности самого института и требований по определению аффилированных лиц. Также попытки законодателя внести ясность в правовое регулирование отношений экономической зависимости путем принятия специального федерального закона нельзя назвать успешными. Более того, появление в Гражданском кодексе РФ нормы об аффилированности способствовало возникновению новых затруднений, связанных с определением аффилированных лиц. </w:t>
      </w:r>
    </w:p>
    <w:p w14:paraId="0C8D6FA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Одним из основных нормативных правовых актов, раскрывающих понятие аффилированности, виды аффилированных лиц и их признаки, в настоящее время остается Закон РСФСР «О конкуренции и ограничении монополистической деятельности на товарных рынках»</w:t>
      </w:r>
      <w:r>
        <w:rPr>
          <w:rStyle w:val="a7"/>
          <w:rFonts w:ascii="Times New Roman" w:hAnsi="Times New Roman" w:cs="Times New Roman"/>
          <w:sz w:val="24"/>
          <w:szCs w:val="24"/>
        </w:rPr>
        <w:t xml:space="preserve"> </w:t>
      </w:r>
      <w:r>
        <w:rPr>
          <w:rStyle w:val="a7"/>
          <w:rFonts w:ascii="Times New Roman" w:hAnsi="Times New Roman" w:cs="Times New Roman"/>
          <w:sz w:val="24"/>
          <w:szCs w:val="24"/>
        </w:rPr>
        <w:footnoteReference w:id="386"/>
      </w:r>
      <w:r>
        <w:rPr>
          <w:rFonts w:ascii="Times New Roman" w:hAnsi="Times New Roman" w:cs="Times New Roman"/>
          <w:sz w:val="24"/>
          <w:szCs w:val="24"/>
        </w:rPr>
        <w:t xml:space="preserve">  (далее – Закон о конкуренции) несмотря на то, что  он практически полностью утратил силу. </w:t>
      </w:r>
    </w:p>
    <w:p w14:paraId="2901A26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i/>
          <w:sz w:val="24"/>
          <w:szCs w:val="24"/>
          <w:u w:val="single"/>
        </w:rPr>
      </w:pPr>
      <w:r>
        <w:rPr>
          <w:rFonts w:ascii="Times New Roman" w:hAnsi="Times New Roman" w:cs="Times New Roman"/>
          <w:sz w:val="24"/>
          <w:szCs w:val="24"/>
        </w:rPr>
        <w:t xml:space="preserve">Определение аффилированных лиц представлено в статье 4 Закона о конкуренции, которая условно состоит из двух частей. В первой части дается общее определение категории: аффилированные лица – это физические и юридические лица, способные оказывать влияние на деятельность юридических и (или) физических лиц, осуществляющих предпринимательскую деятельность. Во второй части статьи приведен перечень лиц, которые могут быть признаны аффилированными. </w:t>
      </w:r>
    </w:p>
    <w:p w14:paraId="3EC01FF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связи с тем, что в Законе о конкуренции понятие «аффилированные лица» раскрывается путем их перечисления, следует выделить общие признаки. По мнению Тотьева К.Ю. к общим признакам аффилированных лиц относятся: состав аффилированных лиц, степень зависимости одних лиц от других и правовая форма данной зависимости</w:t>
      </w:r>
      <w:r>
        <w:rPr>
          <w:rStyle w:val="a7"/>
          <w:rFonts w:ascii="Times New Roman" w:hAnsi="Times New Roman" w:cs="Times New Roman"/>
          <w:sz w:val="24"/>
          <w:szCs w:val="24"/>
        </w:rPr>
        <w:footnoteReference w:id="387"/>
      </w:r>
      <w:r>
        <w:rPr>
          <w:rFonts w:ascii="Times New Roman" w:hAnsi="Times New Roman" w:cs="Times New Roman"/>
          <w:sz w:val="24"/>
          <w:szCs w:val="24"/>
        </w:rPr>
        <w:t>.</w:t>
      </w:r>
    </w:p>
    <w:p w14:paraId="6B98624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Для отнесения того или иного лица к числу аффилированных необходимо определить его способность оказывать влияние на деятельность субъектов</w:t>
      </w:r>
      <w:r>
        <w:rPr>
          <w:rFonts w:ascii="Times New Roman" w:hAnsi="Times New Roman" w:cs="Times New Roman"/>
          <w:i/>
          <w:sz w:val="24"/>
          <w:szCs w:val="24"/>
        </w:rPr>
        <w:t xml:space="preserve">, </w:t>
      </w:r>
      <w:r>
        <w:rPr>
          <w:rFonts w:ascii="Times New Roman" w:hAnsi="Times New Roman" w:cs="Times New Roman"/>
          <w:sz w:val="24"/>
          <w:szCs w:val="24"/>
        </w:rPr>
        <w:t xml:space="preserve">осуществляющих предпринимательскую деятельность. Данная способность закреплена в Законе о конкуренции качестве презумпции, а перечень аффилированных лиц является исчерпывающим. </w:t>
      </w:r>
    </w:p>
    <w:p w14:paraId="4FFEF77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Следует отметить, что Закон о конкуренции разделяет аффилированность физических и юридических лиц. </w:t>
      </w:r>
    </w:p>
    <w:p w14:paraId="03694B2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Так аффилированными лицами физического лица, осуществляющего предпринимательскую деятельность, являются:</w:t>
      </w:r>
    </w:p>
    <w:p w14:paraId="797501B6" w14:textId="77777777" w:rsidR="001B6C3B" w:rsidRDefault="001B6C3B" w:rsidP="00E3198A">
      <w:pPr>
        <w:pStyle w:val="a4"/>
        <w:numPr>
          <w:ilvl w:val="0"/>
          <w:numId w:val="4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лица, принадлежащие к той группе лиц, к которой принадлежит данное физическое лицо;</w:t>
      </w:r>
    </w:p>
    <w:p w14:paraId="18CFAE90" w14:textId="77777777" w:rsidR="001B6C3B" w:rsidRDefault="001B6C3B" w:rsidP="00E3198A">
      <w:pPr>
        <w:pStyle w:val="a4"/>
        <w:numPr>
          <w:ilvl w:val="0"/>
          <w:numId w:val="4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 xml:space="preserve">юридическое лицо, в котором данное физическое лицо имеет право распоряжаться более чем 20% общего количества голосов, приходящихся на голосующие акции либо составляющие уставно или складочный капитал вклады, доли данного юридического лица.  </w:t>
      </w:r>
    </w:p>
    <w:p w14:paraId="72687F22" w14:textId="77777777" w:rsidR="001B6C3B" w:rsidRDefault="001B6C3B" w:rsidP="001B6C3B">
      <w:pPr>
        <w:pStyle w:val="a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Аффилированными лицами юридического лица являются:</w:t>
      </w:r>
    </w:p>
    <w:p w14:paraId="2DE23DBA" w14:textId="77777777" w:rsidR="001B6C3B" w:rsidRDefault="001B6C3B" w:rsidP="00E3198A">
      <w:pPr>
        <w:pStyle w:val="a4"/>
        <w:numPr>
          <w:ilvl w:val="0"/>
          <w:numId w:val="4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член его Совета директоров (наблюдательного совета) или иного коллегиального органа управления, член его коллегиального исполнительного органа, а также лицо, осуществляющее полномочия его единоличного исполнительного органа;</w:t>
      </w:r>
    </w:p>
    <w:p w14:paraId="5B66E482" w14:textId="77777777" w:rsidR="001B6C3B" w:rsidRDefault="001B6C3B" w:rsidP="00E3198A">
      <w:pPr>
        <w:pStyle w:val="a4"/>
        <w:numPr>
          <w:ilvl w:val="0"/>
          <w:numId w:val="4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лица, принадлежащие к той группе лиц, к которой принадлежит данное юридическое лицо;</w:t>
      </w:r>
    </w:p>
    <w:p w14:paraId="15592433" w14:textId="77777777" w:rsidR="001B6C3B" w:rsidRDefault="001B6C3B" w:rsidP="00E3198A">
      <w:pPr>
        <w:pStyle w:val="a4"/>
        <w:numPr>
          <w:ilvl w:val="0"/>
          <w:numId w:val="4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лица, которые имеют право распоряжаться более чем 20% общего количества голосов, приходящихся на голосующие акции либо составляющие уставной или складочный капитал вклады, доли данного юридического лица;</w:t>
      </w:r>
    </w:p>
    <w:p w14:paraId="17CE6B42" w14:textId="77777777" w:rsidR="001B6C3B" w:rsidRDefault="001B6C3B" w:rsidP="00E3198A">
      <w:pPr>
        <w:pStyle w:val="a4"/>
        <w:numPr>
          <w:ilvl w:val="0"/>
          <w:numId w:val="4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lastRenderedPageBreak/>
        <w:t>если юридическое лицо является участников финансово-промышленной группы, к его аффилированным лицам также относятся члены Советов директоров (наблюдательных советов) или иных коллегиальных органов управления, коллегиальных исполнительных органов участников финансово-промышленный группы, а также лица, осуществляющие полномочия единоличных исполнительных органов участников финансово-промышленный группы.</w:t>
      </w:r>
    </w:p>
    <w:p w14:paraId="64F5755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Данный перечень аффилированных лиц показывает, что аффилированными по отношению к юридическому лицу являются не только его участники, но и лица, которые по иным основаниям имеют возможность оказывать влияние на участие физических и юридических лиц в хозяйственном обороте. </w:t>
      </w:r>
    </w:p>
    <w:p w14:paraId="37A2F3C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
          <w:sz w:val="24"/>
          <w:szCs w:val="24"/>
        </w:rPr>
      </w:pPr>
      <w:r>
        <w:rPr>
          <w:rFonts w:ascii="Times New Roman" w:hAnsi="Times New Roman" w:cs="Times New Roman"/>
          <w:sz w:val="24"/>
          <w:szCs w:val="24"/>
        </w:rPr>
        <w:t xml:space="preserve">Нельзя однозначно говорить о том, что законом учтены абсолютно все виды связанности хозяйствующих субъектов. Самостоятельность хозяйствующих субъектов, как экономическая, так и юридическая, находится в зависимости от множества факторов, например от соотношения собственных и заемных средств. </w:t>
      </w:r>
    </w:p>
    <w:p w14:paraId="016DFD9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i/>
          <w:sz w:val="24"/>
          <w:szCs w:val="24"/>
        </w:rPr>
      </w:pPr>
      <w:r>
        <w:rPr>
          <w:rFonts w:ascii="Times New Roman" w:hAnsi="Times New Roman" w:cs="Times New Roman"/>
          <w:sz w:val="24"/>
          <w:szCs w:val="24"/>
        </w:rPr>
        <w:t xml:space="preserve">Однако законодателем учтены основные взаимосвязи предпринимателей на рынке. Отношения, возникающие между хозяйствующим субъектом и аффилированным лицом, могут быть различного рода, такие как: </w:t>
      </w:r>
    </w:p>
    <w:p w14:paraId="73A678D2" w14:textId="77777777" w:rsidR="001B6C3B" w:rsidRDefault="001B6C3B" w:rsidP="00E3198A">
      <w:pPr>
        <w:pStyle w:val="a4"/>
        <w:numPr>
          <w:ilvl w:val="0"/>
          <w:numId w:val="4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имущественные, основанные на преобладающем участии в уставном капитале хозяйственного общества;</w:t>
      </w:r>
    </w:p>
    <w:p w14:paraId="547610DE" w14:textId="77777777" w:rsidR="001B6C3B" w:rsidRDefault="001B6C3B" w:rsidP="00E3198A">
      <w:pPr>
        <w:pStyle w:val="a4"/>
        <w:numPr>
          <w:ilvl w:val="0"/>
          <w:numId w:val="4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договорные, основанные на наличии договорных обязательств, позволяющих одной стороне определять условия ведения предпринимательской деятельности другой стороной;</w:t>
      </w:r>
    </w:p>
    <w:p w14:paraId="5071EE56" w14:textId="77777777" w:rsidR="001B6C3B" w:rsidRDefault="001B6C3B" w:rsidP="00E3198A">
      <w:pPr>
        <w:pStyle w:val="a4"/>
        <w:numPr>
          <w:ilvl w:val="0"/>
          <w:numId w:val="4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организационно-управленческие, основанные на участии физических лиц в органах управления юридических лиц;</w:t>
      </w:r>
    </w:p>
    <w:p w14:paraId="3DD14357" w14:textId="77777777" w:rsidR="001B6C3B" w:rsidRDefault="001B6C3B" w:rsidP="00E3198A">
      <w:pPr>
        <w:pStyle w:val="a4"/>
        <w:numPr>
          <w:ilvl w:val="0"/>
          <w:numId w:val="4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родственные.</w:t>
      </w:r>
    </w:p>
    <w:p w14:paraId="2011423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Существует мнение, согласно которому в отечественном законодательстве закреплена модель так называемой односторонней аффилированности, так как аффилированными лицами признаются только те, кто оказывают влияние на других лиц, осуществляющих предпринимательскую деятельность. В законодательстве зарубежных стран к числу аффилированных лиц относят также контролирующих, подконтрольных, находящихся под общим контролем лиц</w:t>
      </w:r>
      <w:r>
        <w:rPr>
          <w:rStyle w:val="a7"/>
          <w:rFonts w:ascii="Times New Roman" w:hAnsi="Times New Roman" w:cs="Times New Roman"/>
          <w:sz w:val="24"/>
          <w:szCs w:val="24"/>
        </w:rPr>
        <w:footnoteReference w:id="388"/>
      </w:r>
      <w:r>
        <w:rPr>
          <w:rFonts w:ascii="Times New Roman" w:hAnsi="Times New Roman" w:cs="Times New Roman"/>
          <w:sz w:val="24"/>
          <w:szCs w:val="24"/>
        </w:rPr>
        <w:t xml:space="preserve">. </w:t>
      </w:r>
    </w:p>
    <w:p w14:paraId="5126EBA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2012 году законодателем была предпринята попытка внести изменения в Гражданский кодекс РФ в части урегулирования отношений аффилированности путем составления нового перечня аффилированных лиц. Проектом Федерального закона                        № 47538-6101</w:t>
      </w:r>
      <w:r>
        <w:rPr>
          <w:rStyle w:val="a7"/>
          <w:rFonts w:ascii="Times New Roman" w:hAnsi="Times New Roman" w:cs="Times New Roman"/>
          <w:sz w:val="24"/>
          <w:szCs w:val="24"/>
        </w:rPr>
        <w:footnoteReference w:id="389"/>
      </w:r>
      <w:r>
        <w:rPr>
          <w:rFonts w:ascii="Times New Roman" w:hAnsi="Times New Roman" w:cs="Times New Roman"/>
          <w:sz w:val="24"/>
          <w:szCs w:val="24"/>
        </w:rPr>
        <w:t xml:space="preserve"> предусматривалось, что наличие аффилированности признается:</w:t>
      </w:r>
    </w:p>
    <w:p w14:paraId="5D2A9F02" w14:textId="77777777" w:rsidR="001B6C3B" w:rsidRDefault="001B6C3B" w:rsidP="00E3198A">
      <w:pPr>
        <w:pStyle w:val="a4"/>
        <w:numPr>
          <w:ilvl w:val="0"/>
          <w:numId w:val="4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между контролирующим (включая его аффилированных лиц) и подконтрольным лицом, а также между лицами, находящимися под общим контролем, определяемым по признакам, предусмотренных ст. 53.3 Гражданского кодекса РФ, за исключением лиц, находящихся под общим контролем публично-правовых образований;</w:t>
      </w:r>
    </w:p>
    <w:p w14:paraId="472304EA" w14:textId="77777777" w:rsidR="001B6C3B" w:rsidRDefault="001B6C3B" w:rsidP="00E3198A">
      <w:pPr>
        <w:pStyle w:val="Default"/>
        <w:numPr>
          <w:ilvl w:val="0"/>
          <w:numId w:val="4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color w:val="auto"/>
        </w:rPr>
      </w:pPr>
      <w:r>
        <w:rPr>
          <w:color w:val="auto"/>
        </w:rPr>
        <w:t xml:space="preserve">между физическим лицом и его супругом, их родителями, детьми, полнородными и не полнородными братьями и сестрами, усыновителями и усыновленными, дедушками и бабушками, внуками, племянниками и племянницами, дядями и тетями; </w:t>
      </w:r>
    </w:p>
    <w:p w14:paraId="25806225" w14:textId="77777777" w:rsidR="001B6C3B" w:rsidRDefault="001B6C3B" w:rsidP="00E3198A">
      <w:pPr>
        <w:pStyle w:val="Default"/>
        <w:numPr>
          <w:ilvl w:val="0"/>
          <w:numId w:val="4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color w:val="auto"/>
        </w:rPr>
      </w:pPr>
      <w:r>
        <w:rPr>
          <w:color w:val="auto"/>
        </w:rPr>
        <w:t xml:space="preserve">между юридическим лицом и лицами, выполняющими функции органа управления или членов коллегиального органа управления данного юридического лица, а также лицами, признаваемыми аффилированными с ними в соответствии с подпунктом 2 настоящего пункта; </w:t>
      </w:r>
    </w:p>
    <w:p w14:paraId="4941F6D0" w14:textId="77777777" w:rsidR="001B6C3B" w:rsidRDefault="001B6C3B" w:rsidP="00E3198A">
      <w:pPr>
        <w:pStyle w:val="a4"/>
        <w:numPr>
          <w:ilvl w:val="0"/>
          <w:numId w:val="4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 xml:space="preserve">между юридическим лицом и имеющим возможность самостоятельно либо совместно с другими лицами прямо или косвенно (через третьих лиц) согласованно </w:t>
      </w:r>
      <w:r>
        <w:rPr>
          <w:rFonts w:ascii="Times New Roman" w:hAnsi="Times New Roman" w:cs="Times New Roman"/>
          <w:sz w:val="24"/>
          <w:szCs w:val="24"/>
        </w:rPr>
        <w:lastRenderedPageBreak/>
        <w:t>распоряжаться более чем двадцатью процентами общего количества голосов участников данного юридического лица лицом, а также его аффилированными лицами;</w:t>
      </w:r>
    </w:p>
    <w:p w14:paraId="02A66D72" w14:textId="77777777" w:rsidR="001B6C3B" w:rsidRDefault="001B6C3B" w:rsidP="00E3198A">
      <w:pPr>
        <w:pStyle w:val="a4"/>
        <w:numPr>
          <w:ilvl w:val="0"/>
          <w:numId w:val="4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 xml:space="preserve">между юридическими лицами, в которых функции органа управления и (или) большинства членов коллегиального органа управления выполняют одни и те же лица и (или) их аффилированные лица; </w:t>
      </w:r>
    </w:p>
    <w:p w14:paraId="45C166C3" w14:textId="77777777" w:rsidR="001B6C3B" w:rsidRDefault="001B6C3B" w:rsidP="00E3198A">
      <w:pPr>
        <w:pStyle w:val="a4"/>
        <w:numPr>
          <w:ilvl w:val="0"/>
          <w:numId w:val="4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 xml:space="preserve">между юридическими лицами, в которых одно и то же лицо имеет возможность самостоятельно либо совместно с другими лицами прямо или косвенно (через третьих лиц) согласованно распоряжаться более чем двадцатью процентами общего количества голосов участников каждого из этих юридических лиц либо одного из них, являясь при этом контролирующим по отношению к другому. При этом не считаются аффилированными по данному основанию юридические лица, участником которых с соответствующей долей участия является публично-правовое образование; </w:t>
      </w:r>
    </w:p>
    <w:p w14:paraId="27901119" w14:textId="77777777" w:rsidR="001B6C3B" w:rsidRDefault="001B6C3B" w:rsidP="00E3198A">
      <w:pPr>
        <w:pStyle w:val="a4"/>
        <w:numPr>
          <w:ilvl w:val="0"/>
          <w:numId w:val="4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 xml:space="preserve">между юридическими лицами, в одном из которых лицо и (или) его аффилированные лица выполняют функции органа управления, а в другом имеют возможность самостоятельно либо совместно с другими лицами прямо или косвенно (через третьих лиц) согласованно распоряжаться более чем двадцатью процентами общего количества голосов участников данного юридического лица, либо являются контролирующим лицом; </w:t>
      </w:r>
    </w:p>
    <w:p w14:paraId="5CECB6C9" w14:textId="77777777" w:rsidR="001B6C3B" w:rsidRDefault="001B6C3B" w:rsidP="00E3198A">
      <w:pPr>
        <w:pStyle w:val="a4"/>
        <w:numPr>
          <w:ilvl w:val="0"/>
          <w:numId w:val="4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между хозяйственным товариществом и полным товарищем.</w:t>
      </w:r>
    </w:p>
    <w:p w14:paraId="002D1A8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Между тем дискуссионным остается вопрос отнесения к числу аффилированных публично-правовых образований и физических лиц, не осуществляющих предпринимательскую деятельность. Закон категорически исключает возможность установление их аффилированности. Однако предполагается, что законодательство должно обладать определенной гибкостью, позволяющей учитывать сложившуюся правоприменительную практику</w:t>
      </w:r>
      <w:r>
        <w:rPr>
          <w:rStyle w:val="a7"/>
          <w:rFonts w:ascii="Times New Roman" w:hAnsi="Times New Roman" w:cs="Times New Roman"/>
          <w:sz w:val="24"/>
          <w:szCs w:val="24"/>
        </w:rPr>
        <w:footnoteReference w:id="390"/>
      </w:r>
      <w:r>
        <w:rPr>
          <w:rFonts w:ascii="Times New Roman" w:hAnsi="Times New Roman" w:cs="Times New Roman"/>
          <w:sz w:val="24"/>
          <w:szCs w:val="24"/>
        </w:rPr>
        <w:t xml:space="preserve">. Так, например, признаки аффилированности обнаруживаются при анализе отношений публично-правовых образований с их подведомственными учреждениями. </w:t>
      </w:r>
    </w:p>
    <w:p w14:paraId="5D5FA14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Следует отметить, что информация об аффилированных лицах на практике имеет немаловажное значение. Так сведения об аффилированности хозяйствующих субъектов зачастую, если данное требование установлено законом, должны находиться в открытом доступе, в частности в целях предупреждения нарушения антимонопольного и антикоррупционного законодательства, в целях внутреннего контроля и защиты от насильственных поглощений и т.д.</w:t>
      </w:r>
    </w:p>
    <w:p w14:paraId="38BA304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Итак, действующее законодательство закрепляет закрытый перечень аффилированных лиц, которыми признаются физические и юридические лица, способные оказывать влияние на деятельность юридических и (или) физических лиц, осуществляющих предпринимательскую деятельность. Однако встречаются случаи расхождения требований закона и практики по вопросу отнесения тех или иных лиц к числу аффилированных. На сегодняшний день вопрос о необходимости реформирования российского законодательство об аффилированных лицах остается открытым.</w:t>
      </w:r>
    </w:p>
    <w:p w14:paraId="59D9F63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w:hAnsi="Times New Roman" w:cs="Times New Roman"/>
          <w:sz w:val="24"/>
          <w:szCs w:val="24"/>
        </w:rPr>
      </w:pPr>
    </w:p>
    <w:p w14:paraId="19C79C8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b/>
          <w:sz w:val="24"/>
          <w:szCs w:val="24"/>
        </w:rPr>
      </w:pPr>
      <w:r>
        <w:rPr>
          <w:rFonts w:ascii="Times New Roman" w:eastAsia="Calibri" w:hAnsi="Times New Roman" w:cs="Times New Roman"/>
          <w:b/>
          <w:sz w:val="24"/>
          <w:szCs w:val="24"/>
        </w:rPr>
        <w:t>Библиографический список</w:t>
      </w:r>
    </w:p>
    <w:p w14:paraId="19CDE81A" w14:textId="77777777" w:rsidR="001B6C3B" w:rsidRDefault="001B6C3B" w:rsidP="00E3198A">
      <w:pPr>
        <w:pStyle w:val="a5"/>
        <w:numPr>
          <w:ilvl w:val="0"/>
          <w:numId w:val="4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ascii="Times New Roman" w:hAnsi="Times New Roman" w:cs="Times New Roman"/>
          <w:sz w:val="24"/>
          <w:szCs w:val="24"/>
        </w:rPr>
      </w:pPr>
      <w:r>
        <w:rPr>
          <w:rFonts w:ascii="Times New Roman" w:hAnsi="Times New Roman" w:cs="Times New Roman"/>
          <w:sz w:val="24"/>
          <w:szCs w:val="24"/>
        </w:rPr>
        <w:t>Конкурентное право (правовое регулирование конкуренции): учебник /                     К.Ю. Тотьев. –  М.: РДЛ, 2000.  – 252 с.</w:t>
      </w:r>
    </w:p>
    <w:p w14:paraId="0B4DF23C" w14:textId="77777777" w:rsidR="001B6C3B" w:rsidRDefault="001B6C3B" w:rsidP="00E3198A">
      <w:pPr>
        <w:pStyle w:val="a5"/>
        <w:numPr>
          <w:ilvl w:val="0"/>
          <w:numId w:val="4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ascii="Times New Roman" w:hAnsi="Times New Roman" w:cs="Times New Roman"/>
          <w:sz w:val="24"/>
          <w:szCs w:val="24"/>
        </w:rPr>
      </w:pPr>
      <w:r>
        <w:rPr>
          <w:rFonts w:ascii="Times New Roman" w:hAnsi="Times New Roman" w:cs="Times New Roman"/>
          <w:sz w:val="24"/>
          <w:szCs w:val="24"/>
        </w:rPr>
        <w:t>Корпоративное право: учебный курс: в 2 т. / Е.Г. Афанасьева, В.А. Вайпан, А.В. Габов и др.; под ред. И.С. Шиткина. –  М.: Статут, 2018. – Т.2. – 990 с.</w:t>
      </w:r>
    </w:p>
    <w:p w14:paraId="48529188" w14:textId="77777777" w:rsidR="001B6C3B" w:rsidRDefault="001B6C3B" w:rsidP="00E3198A">
      <w:pPr>
        <w:pStyle w:val="a5"/>
        <w:numPr>
          <w:ilvl w:val="0"/>
          <w:numId w:val="4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ascii="Times New Roman" w:hAnsi="Times New Roman" w:cs="Times New Roman"/>
          <w:sz w:val="24"/>
          <w:szCs w:val="24"/>
        </w:rPr>
      </w:pPr>
      <w:r>
        <w:rPr>
          <w:rFonts w:ascii="Times New Roman" w:hAnsi="Times New Roman" w:cs="Times New Roman"/>
          <w:sz w:val="24"/>
          <w:szCs w:val="24"/>
        </w:rPr>
        <w:t>Пашинана Е.О. Правовое регулирование отношений аффилированности в российском законодательстве // Современные тенденции развития гражданского и гражданского процессуального законодательства и практики его применения. – 2018. – № 5. – С. 125-133.</w:t>
      </w:r>
    </w:p>
    <w:p w14:paraId="22A5EEE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sectPr w:rsidR="001B6C3B">
          <w:footnotePr>
            <w:numRestart w:val="eachPage"/>
          </w:footnotePr>
          <w:pgSz w:w="11906" w:h="16838"/>
          <w:pgMar w:top="1134" w:right="1134" w:bottom="1134" w:left="1134" w:header="708" w:footer="708" w:gutter="0"/>
          <w:cols w:space="720"/>
        </w:sectPr>
      </w:pPr>
    </w:p>
    <w:p w14:paraId="52CB5F0C" w14:textId="77777777" w:rsidR="001B6C3B" w:rsidRDefault="001B6C3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09"/>
        <w:jc w:val="both"/>
        <w:rPr>
          <w:rFonts w:ascii="Times New Roman" w:hAnsi="Times New Roman" w:cs="Times New Roman"/>
          <w:b/>
          <w:sz w:val="24"/>
          <w:szCs w:val="24"/>
        </w:rPr>
      </w:pPr>
    </w:p>
    <w:p w14:paraId="5F0A399B" w14:textId="77777777" w:rsidR="001B6C3B" w:rsidRDefault="001B6C3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8080"/>
        <w:jc w:val="both"/>
        <w:rPr>
          <w:rFonts w:ascii="Times New Roman" w:hAnsi="Times New Roman" w:cs="Times New Roman"/>
          <w:b/>
          <w:sz w:val="24"/>
          <w:szCs w:val="24"/>
        </w:rPr>
      </w:pPr>
      <w:r>
        <w:rPr>
          <w:rFonts w:ascii="Times New Roman" w:hAnsi="Times New Roman" w:cs="Times New Roman"/>
          <w:b/>
          <w:sz w:val="24"/>
          <w:szCs w:val="24"/>
        </w:rPr>
        <w:t>УДК 347.121.2</w:t>
      </w:r>
    </w:p>
    <w:p w14:paraId="2650DEE1" w14:textId="77777777" w:rsidR="001B6C3B" w:rsidRDefault="001B6C3B" w:rsidP="001B6C3B">
      <w:pPr>
        <w:pStyle w:val="aa"/>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firstLine="709"/>
        <w:jc w:val="right"/>
        <w:rPr>
          <w:b/>
        </w:rPr>
      </w:pPr>
    </w:p>
    <w:p w14:paraId="078322FA" w14:textId="77777777" w:rsidR="001B6C3B" w:rsidRDefault="001B6C3B" w:rsidP="001B6C3B">
      <w:pPr>
        <w:pStyle w:val="aa"/>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firstLine="709"/>
        <w:jc w:val="right"/>
        <w:rPr>
          <w:b/>
        </w:rPr>
      </w:pPr>
      <w:r>
        <w:rPr>
          <w:b/>
        </w:rPr>
        <w:t>Шахова Алина Максимовна</w:t>
      </w:r>
    </w:p>
    <w:p w14:paraId="4CE17E00" w14:textId="77777777" w:rsidR="001B6C3B" w:rsidRDefault="001B6C3B" w:rsidP="001B6C3B">
      <w:pPr>
        <w:pStyle w:val="aa"/>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firstLine="709"/>
        <w:jc w:val="right"/>
        <w:rPr>
          <w:b/>
        </w:rPr>
      </w:pPr>
      <w:r>
        <w:rPr>
          <w:b/>
          <w:lang w:val="en-US"/>
        </w:rPr>
        <w:t>Shakhova</w:t>
      </w:r>
      <w:r w:rsidRPr="00430C1C">
        <w:rPr>
          <w:b/>
        </w:rPr>
        <w:t xml:space="preserve"> </w:t>
      </w:r>
      <w:r>
        <w:rPr>
          <w:b/>
          <w:lang w:val="en-US"/>
        </w:rPr>
        <w:t>Alina</w:t>
      </w:r>
      <w:r w:rsidRPr="00430C1C">
        <w:rPr>
          <w:b/>
        </w:rPr>
        <w:t xml:space="preserve"> </w:t>
      </w:r>
      <w:r>
        <w:rPr>
          <w:b/>
          <w:lang w:val="en-US"/>
        </w:rPr>
        <w:t>Maksimovna</w:t>
      </w:r>
    </w:p>
    <w:p w14:paraId="01ABB42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1"/>
        <w:jc w:val="right"/>
        <w:rPr>
          <w:rFonts w:ascii="Times New Roman" w:hAnsi="Times New Roman" w:cs="Times New Roman"/>
          <w:sz w:val="24"/>
          <w:szCs w:val="24"/>
        </w:rPr>
      </w:pPr>
      <w:r>
        <w:rPr>
          <w:rFonts w:ascii="Times New Roman" w:hAnsi="Times New Roman" w:cs="Times New Roman"/>
          <w:sz w:val="24"/>
          <w:szCs w:val="24"/>
        </w:rPr>
        <w:t xml:space="preserve">магистрант  Федеральное государственное бюджетное </w:t>
      </w:r>
    </w:p>
    <w:p w14:paraId="332AC9B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1"/>
        <w:jc w:val="right"/>
        <w:rPr>
          <w:rFonts w:ascii="Times New Roman" w:hAnsi="Times New Roman" w:cs="Times New Roman"/>
          <w:sz w:val="24"/>
          <w:szCs w:val="24"/>
        </w:rPr>
      </w:pPr>
      <w:r>
        <w:rPr>
          <w:rFonts w:ascii="Times New Roman" w:hAnsi="Times New Roman" w:cs="Times New Roman"/>
          <w:sz w:val="24"/>
          <w:szCs w:val="24"/>
        </w:rPr>
        <w:t xml:space="preserve">образовательное учреждение высшего образования </w:t>
      </w:r>
    </w:p>
    <w:p w14:paraId="0B89E00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1"/>
        <w:jc w:val="right"/>
        <w:rPr>
          <w:rFonts w:ascii="Times New Roman" w:hAnsi="Times New Roman" w:cs="Times New Roman"/>
          <w:sz w:val="24"/>
          <w:szCs w:val="24"/>
        </w:rPr>
      </w:pPr>
      <w:r>
        <w:rPr>
          <w:rFonts w:ascii="Times New Roman" w:hAnsi="Times New Roman" w:cs="Times New Roman"/>
          <w:sz w:val="24"/>
          <w:szCs w:val="24"/>
        </w:rPr>
        <w:t xml:space="preserve">«Кубанский государственный аграрный университет </w:t>
      </w:r>
    </w:p>
    <w:p w14:paraId="436550C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1"/>
        <w:jc w:val="right"/>
        <w:rPr>
          <w:rFonts w:ascii="Times New Roman" w:hAnsi="Times New Roman" w:cs="Times New Roman"/>
          <w:sz w:val="24"/>
          <w:szCs w:val="24"/>
        </w:rPr>
      </w:pPr>
      <w:r>
        <w:rPr>
          <w:rFonts w:ascii="Times New Roman" w:hAnsi="Times New Roman" w:cs="Times New Roman"/>
          <w:sz w:val="24"/>
          <w:szCs w:val="24"/>
        </w:rPr>
        <w:t>имени И.Т. Трубилина»</w:t>
      </w:r>
    </w:p>
    <w:p w14:paraId="20D7C38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1"/>
        <w:jc w:val="right"/>
        <w:rPr>
          <w:rFonts w:ascii="Times New Roman" w:hAnsi="Times New Roman" w:cs="Times New Roman"/>
          <w:sz w:val="24"/>
          <w:szCs w:val="24"/>
          <w:lang w:val="en-US"/>
        </w:rPr>
      </w:pPr>
      <w:r>
        <w:rPr>
          <w:rFonts w:ascii="Times New Roman" w:hAnsi="Times New Roman" w:cs="Times New Roman"/>
          <w:sz w:val="24"/>
          <w:szCs w:val="24"/>
          <w:lang w:val="en-US"/>
        </w:rPr>
        <w:t xml:space="preserve">Federal State Budgetary Educational Institution of Higher </w:t>
      </w:r>
    </w:p>
    <w:p w14:paraId="1074A32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1"/>
        <w:jc w:val="right"/>
        <w:rPr>
          <w:rFonts w:ascii="Times New Roman" w:hAnsi="Times New Roman" w:cs="Times New Roman"/>
          <w:sz w:val="24"/>
          <w:szCs w:val="24"/>
          <w:lang w:val="en-US"/>
        </w:rPr>
      </w:pPr>
      <w:r>
        <w:rPr>
          <w:rFonts w:ascii="Times New Roman" w:hAnsi="Times New Roman" w:cs="Times New Roman"/>
          <w:sz w:val="24"/>
          <w:szCs w:val="24"/>
          <w:lang w:val="en-US"/>
        </w:rPr>
        <w:t xml:space="preserve">Education“Kuban State Agrarian University named after I.T. </w:t>
      </w:r>
    </w:p>
    <w:p w14:paraId="65A2EC5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1"/>
        <w:jc w:val="right"/>
        <w:rPr>
          <w:rFonts w:ascii="Times New Roman" w:hAnsi="Times New Roman" w:cs="Times New Roman"/>
          <w:sz w:val="24"/>
          <w:szCs w:val="24"/>
        </w:rPr>
      </w:pPr>
      <w:r>
        <w:rPr>
          <w:rFonts w:ascii="Times New Roman" w:hAnsi="Times New Roman" w:cs="Times New Roman"/>
          <w:sz w:val="24"/>
          <w:szCs w:val="24"/>
          <w:lang w:val="en-US"/>
        </w:rPr>
        <w:t>Trubilin</w:t>
      </w:r>
      <w:r>
        <w:rPr>
          <w:rFonts w:ascii="Times New Roman" w:hAnsi="Times New Roman" w:cs="Times New Roman"/>
          <w:sz w:val="24"/>
          <w:szCs w:val="24"/>
        </w:rPr>
        <w:t>”</w:t>
      </w:r>
    </w:p>
    <w:p w14:paraId="3651F77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1"/>
        <w:jc w:val="right"/>
        <w:rPr>
          <w:rFonts w:ascii="Times New Roman" w:hAnsi="Times New Roman" w:cs="Times New Roman"/>
          <w:sz w:val="24"/>
          <w:szCs w:val="24"/>
        </w:rPr>
      </w:pPr>
      <w:r>
        <w:rPr>
          <w:rFonts w:ascii="Times New Roman" w:hAnsi="Times New Roman" w:cs="Times New Roman"/>
          <w:sz w:val="24"/>
          <w:szCs w:val="24"/>
        </w:rPr>
        <w:t>РоссийскаяФедерация, г. Краснодар</w:t>
      </w:r>
    </w:p>
    <w:p w14:paraId="0190322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1"/>
        <w:jc w:val="right"/>
        <w:rPr>
          <w:rFonts w:ascii="Times New Roman" w:hAnsi="Times New Roman" w:cs="Times New Roman"/>
          <w:sz w:val="24"/>
          <w:szCs w:val="24"/>
        </w:rPr>
      </w:pPr>
      <w:r>
        <w:rPr>
          <w:rFonts w:ascii="Times New Roman" w:hAnsi="Times New Roman" w:cs="Times New Roman"/>
          <w:sz w:val="24"/>
          <w:szCs w:val="24"/>
          <w:lang w:val="en-US"/>
        </w:rPr>
        <w:t>Russian</w:t>
      </w:r>
      <w:r w:rsidRPr="00430C1C">
        <w:rPr>
          <w:rFonts w:ascii="Times New Roman" w:hAnsi="Times New Roman" w:cs="Times New Roman"/>
          <w:sz w:val="24"/>
          <w:szCs w:val="24"/>
        </w:rPr>
        <w:t xml:space="preserve"> </w:t>
      </w:r>
      <w:r>
        <w:rPr>
          <w:rFonts w:ascii="Times New Roman" w:hAnsi="Times New Roman" w:cs="Times New Roman"/>
          <w:sz w:val="24"/>
          <w:szCs w:val="24"/>
          <w:lang w:val="en-US"/>
        </w:rPr>
        <w:t>Federation</w:t>
      </w:r>
      <w:r>
        <w:rPr>
          <w:rFonts w:ascii="Times New Roman" w:hAnsi="Times New Roman" w:cs="Times New Roman"/>
          <w:sz w:val="24"/>
          <w:szCs w:val="24"/>
        </w:rPr>
        <w:t xml:space="preserve">, </w:t>
      </w:r>
      <w:r>
        <w:rPr>
          <w:rFonts w:ascii="Times New Roman" w:hAnsi="Times New Roman" w:cs="Times New Roman"/>
          <w:sz w:val="24"/>
          <w:szCs w:val="24"/>
          <w:lang w:val="en-US"/>
        </w:rPr>
        <w:t>Krasnodar</w:t>
      </w:r>
    </w:p>
    <w:p w14:paraId="13DFECE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1"/>
        <w:jc w:val="right"/>
        <w:rPr>
          <w:rStyle w:val="a9"/>
        </w:rPr>
      </w:pPr>
      <w:r>
        <w:rPr>
          <w:rFonts w:ascii="Times New Roman" w:hAnsi="Times New Roman" w:cs="Times New Roman"/>
          <w:sz w:val="24"/>
          <w:szCs w:val="24"/>
          <w:lang w:val="en-US"/>
        </w:rPr>
        <w:t>alshakhova</w:t>
      </w:r>
      <w:r>
        <w:rPr>
          <w:rFonts w:ascii="Times New Roman" w:hAnsi="Times New Roman" w:cs="Times New Roman"/>
          <w:sz w:val="24"/>
          <w:szCs w:val="24"/>
        </w:rPr>
        <w:t>@</w:t>
      </w:r>
      <w:r>
        <w:rPr>
          <w:rFonts w:ascii="Times New Roman" w:hAnsi="Times New Roman" w:cs="Times New Roman"/>
          <w:sz w:val="24"/>
          <w:szCs w:val="24"/>
          <w:lang w:val="en-US"/>
        </w:rPr>
        <w:t>yandex</w:t>
      </w:r>
      <w:r>
        <w:rPr>
          <w:rFonts w:ascii="Times New Roman" w:hAnsi="Times New Roman" w:cs="Times New Roman"/>
          <w:sz w:val="24"/>
          <w:szCs w:val="24"/>
        </w:rPr>
        <w:t>.</w:t>
      </w:r>
      <w:r>
        <w:rPr>
          <w:rFonts w:ascii="Times New Roman" w:hAnsi="Times New Roman" w:cs="Times New Roman"/>
          <w:sz w:val="24"/>
          <w:szCs w:val="24"/>
          <w:lang w:val="en-US"/>
        </w:rPr>
        <w:t>ru</w:t>
      </w:r>
    </w:p>
    <w:p w14:paraId="1090871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1"/>
        <w:jc w:val="right"/>
        <w:rPr>
          <w:b/>
        </w:rPr>
      </w:pPr>
      <w:r>
        <w:rPr>
          <w:rFonts w:ascii="Times New Roman" w:hAnsi="Times New Roman" w:cs="Times New Roman"/>
          <w:b/>
          <w:sz w:val="24"/>
          <w:szCs w:val="24"/>
        </w:rPr>
        <w:t>Новикова Светлана Викторовна, к.ю.н, доцент</w:t>
      </w:r>
    </w:p>
    <w:p w14:paraId="139AE6D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1"/>
        <w:jc w:val="right"/>
        <w:rPr>
          <w:rFonts w:ascii="Times New Roman" w:hAnsi="Times New Roman" w:cs="Times New Roman"/>
          <w:b/>
          <w:sz w:val="24"/>
          <w:szCs w:val="24"/>
          <w:lang w:val="en-US"/>
        </w:rPr>
      </w:pPr>
      <w:r>
        <w:rPr>
          <w:rFonts w:ascii="Times New Roman" w:hAnsi="Times New Roman" w:cs="Times New Roman"/>
          <w:b/>
          <w:sz w:val="24"/>
          <w:szCs w:val="24"/>
          <w:lang w:val="en-US"/>
        </w:rPr>
        <w:t>Novikova Svetlana Viktorovna, Ph. D. (candidate) in Law, docent</w:t>
      </w:r>
    </w:p>
    <w:p w14:paraId="38969CC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124" w:right="-1"/>
        <w:jc w:val="right"/>
        <w:rPr>
          <w:rFonts w:ascii="Times New Roman" w:hAnsi="Times New Roman" w:cs="Times New Roman"/>
          <w:sz w:val="24"/>
          <w:szCs w:val="24"/>
        </w:rPr>
      </w:pPr>
      <w:r>
        <w:rPr>
          <w:rFonts w:ascii="Times New Roman" w:hAnsi="Times New Roman" w:cs="Times New Roman"/>
          <w:sz w:val="24"/>
          <w:szCs w:val="24"/>
        </w:rPr>
        <w:t>Федеральное государственное бюджетное образовательное</w:t>
      </w:r>
    </w:p>
    <w:p w14:paraId="0508AE16"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124" w:right="-1"/>
        <w:jc w:val="right"/>
        <w:rPr>
          <w:rFonts w:ascii="Times New Roman" w:hAnsi="Times New Roman" w:cs="Times New Roman"/>
          <w:sz w:val="24"/>
          <w:szCs w:val="24"/>
        </w:rPr>
      </w:pPr>
      <w:r>
        <w:rPr>
          <w:rFonts w:ascii="Times New Roman" w:hAnsi="Times New Roman" w:cs="Times New Roman"/>
          <w:sz w:val="24"/>
          <w:szCs w:val="24"/>
        </w:rPr>
        <w:t>учреждениевысшего образования</w:t>
      </w:r>
    </w:p>
    <w:p w14:paraId="390B377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708" w:right="-1" w:firstLine="708"/>
        <w:jc w:val="right"/>
        <w:rPr>
          <w:rFonts w:ascii="Times New Roman" w:hAnsi="Times New Roman" w:cs="Times New Roman"/>
          <w:sz w:val="24"/>
          <w:szCs w:val="24"/>
        </w:rPr>
      </w:pPr>
      <w:r>
        <w:rPr>
          <w:rFonts w:ascii="Times New Roman" w:hAnsi="Times New Roman" w:cs="Times New Roman"/>
          <w:sz w:val="24"/>
          <w:szCs w:val="24"/>
        </w:rPr>
        <w:t xml:space="preserve">«Кубанский государственный аграрный университет </w:t>
      </w:r>
    </w:p>
    <w:p w14:paraId="7E5CAAC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708" w:right="-1" w:firstLine="708"/>
        <w:jc w:val="right"/>
        <w:rPr>
          <w:rFonts w:ascii="Times New Roman" w:hAnsi="Times New Roman" w:cs="Times New Roman"/>
          <w:sz w:val="24"/>
          <w:szCs w:val="24"/>
        </w:rPr>
      </w:pPr>
      <w:r>
        <w:rPr>
          <w:rFonts w:ascii="Times New Roman" w:hAnsi="Times New Roman" w:cs="Times New Roman"/>
          <w:sz w:val="24"/>
          <w:szCs w:val="24"/>
        </w:rPr>
        <w:t>имени И.Т. Трубилина»</w:t>
      </w:r>
    </w:p>
    <w:p w14:paraId="44104B2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1"/>
        <w:jc w:val="right"/>
        <w:rPr>
          <w:rFonts w:ascii="Times New Roman" w:hAnsi="Times New Roman" w:cs="Times New Roman"/>
          <w:sz w:val="24"/>
          <w:szCs w:val="24"/>
          <w:lang w:val="en-US"/>
        </w:rPr>
      </w:pPr>
      <w:r>
        <w:rPr>
          <w:rFonts w:ascii="Times New Roman" w:hAnsi="Times New Roman" w:cs="Times New Roman"/>
          <w:sz w:val="24"/>
          <w:szCs w:val="24"/>
          <w:lang w:val="en-US"/>
        </w:rPr>
        <w:t xml:space="preserve">Federal State Budgetary Educational Institution of Higher </w:t>
      </w:r>
    </w:p>
    <w:p w14:paraId="401F7C6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1"/>
        <w:jc w:val="right"/>
        <w:rPr>
          <w:rFonts w:ascii="Times New Roman" w:hAnsi="Times New Roman" w:cs="Times New Roman"/>
          <w:sz w:val="24"/>
          <w:szCs w:val="24"/>
          <w:lang w:val="en-US"/>
        </w:rPr>
      </w:pPr>
      <w:r>
        <w:rPr>
          <w:rFonts w:ascii="Times New Roman" w:hAnsi="Times New Roman" w:cs="Times New Roman"/>
          <w:sz w:val="24"/>
          <w:szCs w:val="24"/>
          <w:lang w:val="en-US"/>
        </w:rPr>
        <w:t xml:space="preserve">Education“Kuban State Agrarian University named after </w:t>
      </w:r>
    </w:p>
    <w:p w14:paraId="12F4F4A2" w14:textId="77777777" w:rsidR="001B6C3B" w:rsidRDefault="001B6C3B" w:rsidP="001B6C3B">
      <w:pPr>
        <w:tabs>
          <w:tab w:val="left" w:pos="3969"/>
        </w:tabs>
        <w:spacing w:after="0" w:line="240" w:lineRule="auto"/>
        <w:ind w:right="-1"/>
        <w:jc w:val="right"/>
        <w:rPr>
          <w:rFonts w:ascii="Times New Roman" w:hAnsi="Times New Roman" w:cs="Times New Roman"/>
          <w:sz w:val="24"/>
          <w:szCs w:val="24"/>
        </w:rPr>
      </w:pPr>
      <w:r>
        <w:rPr>
          <w:rFonts w:ascii="Times New Roman" w:hAnsi="Times New Roman" w:cs="Times New Roman"/>
          <w:sz w:val="24"/>
          <w:szCs w:val="24"/>
          <w:lang w:val="en-US"/>
        </w:rPr>
        <w:t>I</w:t>
      </w:r>
      <w:r>
        <w:rPr>
          <w:rFonts w:ascii="Times New Roman" w:hAnsi="Times New Roman" w:cs="Times New Roman"/>
          <w:sz w:val="24"/>
          <w:szCs w:val="24"/>
        </w:rPr>
        <w:t>.</w:t>
      </w:r>
      <w:r>
        <w:rPr>
          <w:rFonts w:ascii="Times New Roman" w:hAnsi="Times New Roman" w:cs="Times New Roman"/>
          <w:sz w:val="24"/>
          <w:szCs w:val="24"/>
          <w:lang w:val="en-US"/>
        </w:rPr>
        <w:t>T</w:t>
      </w:r>
      <w:r>
        <w:rPr>
          <w:rFonts w:ascii="Times New Roman" w:hAnsi="Times New Roman" w:cs="Times New Roman"/>
          <w:sz w:val="24"/>
          <w:szCs w:val="24"/>
        </w:rPr>
        <w:t xml:space="preserve">. </w:t>
      </w:r>
      <w:r>
        <w:rPr>
          <w:rFonts w:ascii="Times New Roman" w:hAnsi="Times New Roman" w:cs="Times New Roman"/>
          <w:sz w:val="24"/>
          <w:szCs w:val="24"/>
          <w:lang w:val="en-US"/>
        </w:rPr>
        <w:t>Trubilin</w:t>
      </w:r>
      <w:r>
        <w:rPr>
          <w:rFonts w:ascii="Times New Roman" w:hAnsi="Times New Roman" w:cs="Times New Roman"/>
          <w:sz w:val="24"/>
          <w:szCs w:val="24"/>
        </w:rPr>
        <w:t>”</w:t>
      </w:r>
    </w:p>
    <w:p w14:paraId="5A59A39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1"/>
        <w:jc w:val="right"/>
        <w:rPr>
          <w:rFonts w:ascii="Times New Roman" w:hAnsi="Times New Roman" w:cs="Times New Roman"/>
          <w:sz w:val="24"/>
          <w:szCs w:val="24"/>
        </w:rPr>
      </w:pPr>
      <w:r>
        <w:rPr>
          <w:rFonts w:ascii="Times New Roman" w:hAnsi="Times New Roman" w:cs="Times New Roman"/>
          <w:sz w:val="24"/>
          <w:szCs w:val="24"/>
        </w:rPr>
        <w:t>Российская Федерация, г. Краснодар</w:t>
      </w:r>
    </w:p>
    <w:p w14:paraId="3BE5052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1"/>
        <w:jc w:val="right"/>
        <w:rPr>
          <w:rFonts w:ascii="Times New Roman" w:hAnsi="Times New Roman" w:cs="Times New Roman"/>
          <w:sz w:val="24"/>
          <w:szCs w:val="24"/>
        </w:rPr>
      </w:pPr>
      <w:r>
        <w:rPr>
          <w:rFonts w:ascii="Times New Roman" w:hAnsi="Times New Roman" w:cs="Times New Roman"/>
          <w:sz w:val="24"/>
          <w:szCs w:val="24"/>
          <w:lang w:val="en-US"/>
        </w:rPr>
        <w:t>RussianFederation</w:t>
      </w:r>
      <w:r>
        <w:rPr>
          <w:rFonts w:ascii="Times New Roman" w:hAnsi="Times New Roman" w:cs="Times New Roman"/>
          <w:sz w:val="24"/>
          <w:szCs w:val="24"/>
        </w:rPr>
        <w:t xml:space="preserve">, </w:t>
      </w:r>
      <w:r>
        <w:rPr>
          <w:rFonts w:ascii="Times New Roman" w:hAnsi="Times New Roman" w:cs="Times New Roman"/>
          <w:sz w:val="24"/>
          <w:szCs w:val="24"/>
          <w:lang w:val="en-US"/>
        </w:rPr>
        <w:t>Krasnodar</w:t>
      </w:r>
    </w:p>
    <w:p w14:paraId="5C02D52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1"/>
        <w:jc w:val="right"/>
        <w:rPr>
          <w:rFonts w:ascii="Times New Roman" w:hAnsi="Times New Roman" w:cs="Times New Roman"/>
          <w:sz w:val="24"/>
          <w:szCs w:val="24"/>
        </w:rPr>
      </w:pPr>
      <w:r>
        <w:rPr>
          <w:rFonts w:ascii="Times New Roman" w:hAnsi="Times New Roman" w:cs="Times New Roman"/>
          <w:sz w:val="24"/>
          <w:szCs w:val="24"/>
          <w:lang w:val="en-US"/>
        </w:rPr>
        <w:t>svnovikova</w:t>
      </w:r>
      <w:r>
        <w:rPr>
          <w:rFonts w:ascii="Times New Roman" w:hAnsi="Times New Roman" w:cs="Times New Roman"/>
          <w:sz w:val="24"/>
          <w:szCs w:val="24"/>
        </w:rPr>
        <w:t>2207@</w:t>
      </w:r>
      <w:r>
        <w:rPr>
          <w:rFonts w:ascii="Times New Roman" w:hAnsi="Times New Roman" w:cs="Times New Roman"/>
          <w:sz w:val="24"/>
          <w:szCs w:val="24"/>
          <w:lang w:val="en-US"/>
        </w:rPr>
        <w:t>gmail</w:t>
      </w:r>
      <w:r>
        <w:rPr>
          <w:rFonts w:ascii="Times New Roman" w:hAnsi="Times New Roman" w:cs="Times New Roman"/>
          <w:sz w:val="24"/>
          <w:szCs w:val="24"/>
        </w:rPr>
        <w:t>.</w:t>
      </w:r>
      <w:r>
        <w:rPr>
          <w:rFonts w:ascii="Times New Roman" w:hAnsi="Times New Roman" w:cs="Times New Roman"/>
          <w:sz w:val="24"/>
          <w:szCs w:val="24"/>
          <w:lang w:val="en-US"/>
        </w:rPr>
        <w:t>com</w:t>
      </w:r>
    </w:p>
    <w:p w14:paraId="73B8E16E" w14:textId="77777777" w:rsidR="001B6C3B" w:rsidRDefault="001B6C3B" w:rsidP="001B6C3B">
      <w:pPr>
        <w:pStyle w:val="aa"/>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firstLine="709"/>
        <w:jc w:val="right"/>
        <w:rPr>
          <w:b/>
        </w:rPr>
      </w:pPr>
      <w:r>
        <w:rPr>
          <w:b/>
        </w:rPr>
        <w:tab/>
      </w:r>
    </w:p>
    <w:p w14:paraId="16AD411C" w14:textId="77777777" w:rsidR="001B6C3B" w:rsidRDefault="001B6C3B" w:rsidP="001B6C3B">
      <w:pPr>
        <w:pStyle w:val="aa"/>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firstLine="709"/>
        <w:jc w:val="both"/>
        <w:rPr>
          <w:b/>
        </w:rPr>
      </w:pPr>
    </w:p>
    <w:p w14:paraId="0FA7844D" w14:textId="77777777" w:rsidR="001B6C3B" w:rsidRDefault="001B6C3B" w:rsidP="001B6C3B">
      <w:pPr>
        <w:pStyle w:val="aa"/>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firstLine="709"/>
        <w:jc w:val="both"/>
        <w:rPr>
          <w:b/>
        </w:rPr>
      </w:pPr>
      <w:r>
        <w:rPr>
          <w:b/>
        </w:rPr>
        <w:tab/>
      </w:r>
      <w:r>
        <w:rPr>
          <w:b/>
        </w:rPr>
        <w:tab/>
      </w:r>
      <w:r>
        <w:rPr>
          <w:b/>
        </w:rPr>
        <w:tab/>
      </w:r>
    </w:p>
    <w:p w14:paraId="288B2922" w14:textId="77777777" w:rsidR="001B6C3B" w:rsidRDefault="001B6C3B" w:rsidP="001B6C3B">
      <w:pPr>
        <w:pStyle w:val="aa"/>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0" w:beforeAutospacing="0" w:after="0" w:afterAutospacing="0"/>
        <w:jc w:val="center"/>
        <w:rPr>
          <w:b/>
        </w:rPr>
      </w:pPr>
      <w:r>
        <w:rPr>
          <w:b/>
        </w:rPr>
        <w:t>СОЦИАЛЬНО-ИСТОРИЧЕСКИЕ И ПРАВОВЫЕ ОСОБЕННОСТИ СТАНОВЛЕНИЯ ИНСТИТУТА РЕНТНЫХ ОТНОШЕНИЙ В РОССИИ</w:t>
      </w:r>
    </w:p>
    <w:p w14:paraId="7DB5C8CD" w14:textId="77777777" w:rsidR="001B6C3B" w:rsidRDefault="001B6C3B" w:rsidP="001B6C3B">
      <w:pPr>
        <w:pStyle w:val="aa"/>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0" w:beforeAutospacing="0" w:after="0" w:afterAutospacing="0"/>
        <w:ind w:firstLine="709"/>
        <w:jc w:val="both"/>
        <w:rPr>
          <w:b/>
        </w:rPr>
      </w:pPr>
    </w:p>
    <w:p w14:paraId="41E55D4E" w14:textId="77777777" w:rsidR="001B6C3B" w:rsidRDefault="001B6C3B" w:rsidP="001B6C3B">
      <w:pPr>
        <w:pStyle w:val="aa"/>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0" w:beforeAutospacing="0" w:after="0" w:afterAutospacing="0"/>
        <w:ind w:firstLine="709"/>
        <w:jc w:val="center"/>
        <w:rPr>
          <w:b/>
          <w:lang w:val="en-US"/>
        </w:rPr>
      </w:pPr>
      <w:r>
        <w:rPr>
          <w:b/>
          <w:lang w:val="en-US"/>
        </w:rPr>
        <w:t>SOCIO-HISTORICAL AND LEGAL FEATURES OF FORMATION OF THE INSTITUTE OF RENTAL RELATIONS IN RUSSIA</w:t>
      </w:r>
    </w:p>
    <w:p w14:paraId="1739447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jc w:val="both"/>
        <w:rPr>
          <w:rFonts w:ascii="Times New Roman" w:hAnsi="Times New Roman" w:cs="Times New Roman"/>
          <w:sz w:val="24"/>
          <w:szCs w:val="24"/>
          <w:lang w:val="en-US"/>
        </w:rPr>
      </w:pPr>
    </w:p>
    <w:p w14:paraId="0B05505F" w14:textId="5ABF9F9B" w:rsidR="001B6C3B" w:rsidRPr="00E91627"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jc w:val="both"/>
        <w:rPr>
          <w:rFonts w:ascii="Times New Roman" w:hAnsi="Times New Roman" w:cs="Times New Roman"/>
          <w:sz w:val="24"/>
          <w:szCs w:val="24"/>
        </w:rPr>
      </w:pPr>
      <w:r>
        <w:rPr>
          <w:rFonts w:ascii="Times New Roman" w:hAnsi="Times New Roman" w:cs="Times New Roman"/>
          <w:i/>
          <w:sz w:val="24"/>
          <w:szCs w:val="24"/>
          <w:lang w:val="en-US"/>
        </w:rPr>
        <w:t xml:space="preserve"> </w:t>
      </w:r>
      <w:r>
        <w:rPr>
          <w:rFonts w:ascii="Times New Roman" w:hAnsi="Times New Roman" w:cs="Times New Roman"/>
          <w:i/>
          <w:sz w:val="24"/>
          <w:szCs w:val="24"/>
        </w:rPr>
        <w:t>Аннотация:</w:t>
      </w:r>
      <w:r>
        <w:rPr>
          <w:rFonts w:ascii="Times New Roman" w:hAnsi="Times New Roman" w:cs="Times New Roman"/>
          <w:sz w:val="24"/>
          <w:szCs w:val="24"/>
        </w:rPr>
        <w:t xml:space="preserve"> авторами предлагается последовательное определение социально-исторических и правовых особенностей становления в России института рентных отношений в законодательном обосновании.</w:t>
      </w:r>
      <w:r w:rsidR="00E91627">
        <w:rPr>
          <w:rFonts w:ascii="Times New Roman" w:hAnsi="Times New Roman" w:cs="Times New Roman"/>
          <w:sz w:val="24"/>
          <w:szCs w:val="24"/>
        </w:rPr>
        <w:t xml:space="preserve"> </w:t>
      </w:r>
      <w:r w:rsidR="00E91627" w:rsidRPr="00E91627">
        <w:rPr>
          <w:rFonts w:ascii="Times New Roman" w:hAnsi="Times New Roman" w:cs="Times New Roman"/>
          <w:sz w:val="24"/>
          <w:szCs w:val="24"/>
        </w:rPr>
        <w:t>Наличие в правоприменительной практике широкого круга неурегулированных публичных арендных отношений привело к признанию юридической силы договоров с условием пожизненного содержания.</w:t>
      </w:r>
    </w:p>
    <w:p w14:paraId="65E901A2" w14:textId="77777777" w:rsidR="001B6C3B" w:rsidRDefault="001B6C3B" w:rsidP="001B6C3B">
      <w:pPr>
        <w:pStyle w:val="aa"/>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0" w:beforeAutospacing="0" w:after="0" w:afterAutospacing="0"/>
        <w:ind w:firstLine="709"/>
        <w:jc w:val="both"/>
      </w:pPr>
      <w:r>
        <w:rPr>
          <w:i/>
        </w:rPr>
        <w:t>Ключевые слова:</w:t>
      </w:r>
      <w:r>
        <w:t xml:space="preserve"> рента, пожизненное содержание с иждивением, социально-исторические особенности, правовые особенности, эмфитевзис, легальное определение.</w:t>
      </w:r>
    </w:p>
    <w:p w14:paraId="36F09BBD" w14:textId="77777777" w:rsidR="001B6C3B" w:rsidRDefault="001B6C3B" w:rsidP="001B6C3B">
      <w:pPr>
        <w:pStyle w:val="aa"/>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0" w:beforeAutospacing="0" w:after="0" w:afterAutospacing="0"/>
        <w:ind w:firstLine="709"/>
        <w:jc w:val="both"/>
      </w:pPr>
    </w:p>
    <w:p w14:paraId="47936D1D" w14:textId="77777777" w:rsidR="001B6C3B" w:rsidRDefault="001B6C3B" w:rsidP="001B6C3B">
      <w:pPr>
        <w:pStyle w:val="aa"/>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0" w:beforeAutospacing="0" w:after="0" w:afterAutospacing="0"/>
        <w:ind w:firstLine="709"/>
        <w:jc w:val="both"/>
        <w:rPr>
          <w:lang w:val="en-US"/>
        </w:rPr>
      </w:pPr>
      <w:r>
        <w:rPr>
          <w:i/>
          <w:lang w:val="en-US"/>
        </w:rPr>
        <w:t>Resume:</w:t>
      </w:r>
      <w:r>
        <w:rPr>
          <w:lang w:val="en-US"/>
        </w:rPr>
        <w:t xml:space="preserve"> the authors propose a consistent definition of the socio-historical and legal features of the establishment of the institute of rental relations in Russia in legislative justification.</w:t>
      </w:r>
    </w:p>
    <w:p w14:paraId="7DCDC800" w14:textId="77777777" w:rsidR="001B6C3B" w:rsidRDefault="001B6C3B" w:rsidP="001B6C3B">
      <w:pPr>
        <w:pStyle w:val="aa"/>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0" w:beforeAutospacing="0" w:after="0" w:afterAutospacing="0"/>
        <w:ind w:firstLine="709"/>
        <w:jc w:val="both"/>
        <w:rPr>
          <w:lang w:val="en-US"/>
        </w:rPr>
      </w:pPr>
      <w:r>
        <w:rPr>
          <w:i/>
          <w:lang w:val="en-US"/>
        </w:rPr>
        <w:t>Key words:</w:t>
      </w:r>
      <w:r>
        <w:rPr>
          <w:lang w:val="en-US"/>
        </w:rPr>
        <w:t xml:space="preserve"> rent, dependent maintenance for the long term, socio-historical features, legal features, emphyteusis, legal definition.</w:t>
      </w:r>
    </w:p>
    <w:p w14:paraId="5A7E995D" w14:textId="77777777" w:rsidR="001B6C3B" w:rsidRDefault="001B6C3B" w:rsidP="001B6C3B">
      <w:pPr>
        <w:pStyle w:val="aa"/>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0" w:beforeAutospacing="0" w:after="0" w:afterAutospacing="0"/>
        <w:ind w:firstLine="709"/>
        <w:jc w:val="both"/>
        <w:rPr>
          <w:lang w:val="en-US"/>
        </w:rPr>
      </w:pPr>
    </w:p>
    <w:p w14:paraId="45CE7E3E" w14:textId="77777777" w:rsidR="001B6C3B" w:rsidRDefault="001B6C3B" w:rsidP="001B6C3B">
      <w:pPr>
        <w:pStyle w:val="aa"/>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0" w:beforeAutospacing="0" w:after="0" w:afterAutospacing="0"/>
        <w:ind w:firstLine="709"/>
        <w:jc w:val="both"/>
      </w:pPr>
      <w:r>
        <w:t xml:space="preserve">История появления института рентных отношений (в форме пожизненного содержания с иждивением) связана первоначально с римским правом, когда в пост-классическую эпоху </w:t>
      </w:r>
      <w:r>
        <w:lastRenderedPageBreak/>
        <w:t xml:space="preserve">развития общества и государства получило распространение конструкции эмфитевзиса (emphyteusis) греческого происхождения, означающего «обязанность возделывать и улучшать земельный участок, как определенная деятельность, связанная с обработкой чужой земли и посадкой растений» [1], что стали связывать с долгосрочной деятельностью по реализации полученных по договору права и обязанности. </w:t>
      </w:r>
    </w:p>
    <w:p w14:paraId="1DCDFB39" w14:textId="77777777" w:rsidR="001B6C3B" w:rsidRDefault="001B6C3B" w:rsidP="001B6C3B">
      <w:pPr>
        <w:pStyle w:val="aa"/>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0" w:beforeAutospacing="0" w:after="0" w:afterAutospacing="0"/>
        <w:ind w:firstLine="709"/>
        <w:jc w:val="both"/>
      </w:pPr>
      <w:r>
        <w:t xml:space="preserve">Далее в связи с появлением в западном обществе так называемых «питательных учреждений» для бедных людей стали складываться и рентные правоотношения. Так, например, еще поступательные меры таких римских императоров как Траян, Адриан, Антоний Пий, Марк Аврелий, Александр Север, приводили к созданию алиментарных учреждений, назначение которых состояло в закреплении за конкретной местностью определенного количества бедных римских граждан, содержание (пропитание) которых осуществлялось за счет сборов с частных землевладельцев и с общин данной местности. </w:t>
      </w:r>
    </w:p>
    <w:p w14:paraId="022B865D" w14:textId="77777777" w:rsidR="001B6C3B" w:rsidRDefault="001B6C3B" w:rsidP="001B6C3B">
      <w:pPr>
        <w:pStyle w:val="aa"/>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0" w:beforeAutospacing="0" w:after="0" w:afterAutospacing="0"/>
        <w:ind w:firstLine="709"/>
        <w:jc w:val="both"/>
      </w:pPr>
      <w:r>
        <w:t xml:space="preserve">В целом развитие института рентных отношений получило в средние века, когда к тому периоду времени относят первые классификации рентных договоров: 1) договор о пожизненной ренте и 2) договор о вечной ренте, которые в свою очередь делились на а) ренту с капитала, б) ренту с недвижимых изменений и в) ренту поземельную. </w:t>
      </w:r>
    </w:p>
    <w:p w14:paraId="5ACE4A4B" w14:textId="77777777" w:rsidR="001B6C3B" w:rsidRDefault="001B6C3B" w:rsidP="001B6C3B">
      <w:pPr>
        <w:pStyle w:val="aa"/>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0" w:beforeAutospacing="0" w:after="0" w:afterAutospacing="0"/>
        <w:ind w:firstLine="709"/>
        <w:jc w:val="both"/>
      </w:pPr>
      <w:r>
        <w:t xml:space="preserve">Русские ученые правоведы, исследуя положения о рентных отношениях на основе западноевропейского законодательства, указывали, что российское законодательство совершенно не упоминает о ренте, как объекте договора. Они полагали, что договоры о пожизненном содержании не следует считать у нас недействительными. </w:t>
      </w:r>
    </w:p>
    <w:p w14:paraId="3704F50B" w14:textId="77777777" w:rsidR="001B6C3B" w:rsidRDefault="001B6C3B" w:rsidP="001B6C3B">
      <w:pPr>
        <w:pStyle w:val="aa"/>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0" w:beforeAutospacing="0" w:after="0" w:afterAutospacing="0"/>
        <w:ind w:firstLine="709"/>
        <w:jc w:val="both"/>
      </w:pPr>
      <w:r>
        <w:t xml:space="preserve">Так, например, К.П. Победоносцев, В.Л. Исаченко и некоторые другие ученые, ссылаясь на статьи 1528 и 1530 Свода законов гражданских, «разрешающих всякие договоры, законам не противные», отмечали, что «обычай обременять пожизненной рентой имения... существует и у нас» [2]. </w:t>
      </w:r>
    </w:p>
    <w:p w14:paraId="543970A6" w14:textId="77777777" w:rsidR="001B6C3B" w:rsidRDefault="001B6C3B" w:rsidP="001B6C3B">
      <w:pPr>
        <w:pStyle w:val="aa"/>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0" w:beforeAutospacing="0" w:after="0" w:afterAutospacing="0"/>
        <w:ind w:firstLine="709"/>
        <w:jc w:val="both"/>
      </w:pPr>
      <w:r>
        <w:t>Как вариант рентных отношений в виде пожизненного содержания, стали распространенными в большей степени в период Великой Отечественной войны, а также и в послевоенные годы, когда количество одиноких граждан, нуждающихся в присмотре, увеличилось и единственным спасением для них стало заключение договора с условием пожизненного содержания за счет жилого дома, находящегося в их личной собственности.</w:t>
      </w:r>
    </w:p>
    <w:p w14:paraId="3AA37F59" w14:textId="77777777" w:rsidR="001B6C3B" w:rsidRDefault="001B6C3B" w:rsidP="001B6C3B">
      <w:pPr>
        <w:pStyle w:val="aa"/>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0" w:beforeAutospacing="0" w:after="0" w:afterAutospacing="0"/>
        <w:ind w:firstLine="709"/>
        <w:jc w:val="both"/>
      </w:pPr>
      <w:r>
        <w:t xml:space="preserve">Поэтому суды, принимая решение о законности заключения такого договора, выяснили следующее обстоятельство - не противоречит ли такое договорное обязательство советскому гражданскому праву и правилам социалистического общежития, что во многом было обусловлено наличием государственной собственности. </w:t>
      </w:r>
    </w:p>
    <w:p w14:paraId="2D595A84" w14:textId="77777777" w:rsidR="001B6C3B" w:rsidRDefault="001B6C3B" w:rsidP="001B6C3B">
      <w:pPr>
        <w:pStyle w:val="aa"/>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0" w:beforeAutospacing="0" w:after="0" w:afterAutospacing="0"/>
        <w:ind w:firstLine="709"/>
        <w:jc w:val="both"/>
      </w:pPr>
      <w:r>
        <w:t xml:space="preserve">Вместе с тем, социальным обоснованием заключения такого договора и наличием его необходимости было складывающееся материально-трудное положение гражданина, обладающего наличием личной собственности. Так, нетрудоспособные, больные и одинокие граждане, нуждающиеся в заботе и помощи, но имеющие в личной собственности жилой дом или долю в жилом доме, и не способные уже по возрасту или другим причинам содержать их в подходящем для жилья состоянии, хотели заключить, так сказать, «обменный» договор - и получить его можно было только подписав договор с условием пожизненного содержания. </w:t>
      </w:r>
    </w:p>
    <w:p w14:paraId="57F243FB" w14:textId="77777777" w:rsidR="001B6C3B" w:rsidRDefault="001B6C3B" w:rsidP="001B6C3B">
      <w:pPr>
        <w:pStyle w:val="aa"/>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0" w:beforeAutospacing="0" w:after="0" w:afterAutospacing="0"/>
        <w:ind w:firstLine="709"/>
        <w:jc w:val="both"/>
      </w:pPr>
      <w:r>
        <w:t xml:space="preserve">Таким образом, наличие в правоприменительной практике широкого круга неурегулированных публичных арендных отношений [3] привело к признанию юридической силы договоров с условием пожизненного содержания, а следовательно, и включению в Гражданский кодекс РСФСР 1964 года статей, содержащих нормы о договоре купли-продажи с условием пожизненного содержания продавца. </w:t>
      </w:r>
    </w:p>
    <w:p w14:paraId="0426DFB6" w14:textId="77777777" w:rsidR="001B6C3B" w:rsidRDefault="001B6C3B" w:rsidP="001B6C3B">
      <w:pPr>
        <w:pStyle w:val="aa"/>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0" w:beforeAutospacing="0" w:after="0" w:afterAutospacing="0"/>
        <w:ind w:firstLine="709"/>
        <w:jc w:val="both"/>
      </w:pPr>
      <w:r>
        <w:t xml:space="preserve">Указанные статьи были помещены в главу Гражданского кодекса РСФСР «Купля-продажа» [4] - по сути, таким образом, был утвержден договор о пожизненном содержании как разновидность договора купли-продажи.  </w:t>
      </w:r>
    </w:p>
    <w:p w14:paraId="6260EF54" w14:textId="77777777" w:rsidR="001B6C3B" w:rsidRDefault="001B6C3B" w:rsidP="001B6C3B">
      <w:pPr>
        <w:pStyle w:val="aa"/>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0" w:beforeAutospacing="0" w:after="0" w:afterAutospacing="0"/>
        <w:ind w:firstLine="709"/>
        <w:jc w:val="both"/>
      </w:pPr>
      <w:r>
        <w:t xml:space="preserve">Поэтому легальное определение договора купли-продажи жилого дома с условием пожизненного содержания продавца, указанного в статье 253 Гражданского кодекса РСФСР, он считался реальным договором, так как считался договором, заключенным с момента передачи жилого дома, но продавец не обязан передавать жилой дом, и, следовательно, </w:t>
      </w:r>
      <w:r>
        <w:lastRenderedPageBreak/>
        <w:t>заставить его сделать это невозможно, и если это соглашение является реальным, то оно также является односторонним, поскольку после передачи жилого здания продавец имеет только права.</w:t>
      </w:r>
    </w:p>
    <w:p w14:paraId="3BCA5BC8" w14:textId="77777777" w:rsidR="001B6C3B" w:rsidRDefault="001B6C3B" w:rsidP="001B6C3B">
      <w:pPr>
        <w:pStyle w:val="aa"/>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0" w:beforeAutospacing="0" w:after="0" w:afterAutospacing="0"/>
        <w:ind w:firstLine="709"/>
        <w:jc w:val="both"/>
      </w:pPr>
      <w:r>
        <w:t>В результате договор жизнеобеспечения отличался от договора купли - продажи наличием цели, которую продавец преследует при заключении договора, а именно в получении жизнеобеспечения в натуральной форме - в виде жилья, продуктов питания, хозяйственных товаров и другой необходимой помощи. Разница между этими двумя гражданско-правовыми договорами заключается в том, что определенная цена товара в договоре купли-продажи определяется в денежном выражении, а стоимость пожизненного содержания в течение всего срока действия договора не может быть определена.</w:t>
      </w:r>
    </w:p>
    <w:p w14:paraId="5D2FE192" w14:textId="77777777" w:rsidR="001B6C3B" w:rsidRDefault="001B6C3B" w:rsidP="001B6C3B">
      <w:pPr>
        <w:pStyle w:val="aa"/>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0" w:beforeAutospacing="0" w:after="0" w:afterAutospacing="0"/>
        <w:ind w:firstLine="709"/>
        <w:jc w:val="both"/>
      </w:pPr>
      <w:r>
        <w:t xml:space="preserve">Вместе с тем, Основы гражданского законодательства Союза ССР и республик от 31 мая 1991 года не содержали норм, которые бы регулировали рентные отношения в виде пожизненного содержания. Поэтому правовой основой рентных отношений вплоть до 1996 года продолжали оставаться статьи 253 - 254 Гражданского кодекса РСФСР, пока в связи с изменением социально-политического режима государства и принятием Конституции Российской Федерации [5] не вводилось новое гражданское законодательство – Гражданский кодекс Российской Федерации [6].  </w:t>
      </w:r>
    </w:p>
    <w:p w14:paraId="10ED76AF" w14:textId="77777777" w:rsidR="001B6C3B" w:rsidRDefault="001B6C3B" w:rsidP="001B6C3B">
      <w:pPr>
        <w:pStyle w:val="aa"/>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0" w:beforeAutospacing="0" w:after="0" w:afterAutospacing="0"/>
        <w:ind w:firstLine="709"/>
        <w:jc w:val="both"/>
      </w:pPr>
      <w:r>
        <w:t xml:space="preserve">Таким образом, и в соответствии с введенным в действие Гражданским кодексом РФ договор пожизненного содержания с иждивением - носит формальный характер, поскольку закон предусматривает обязательную форму, в которую она должна быть облечена. </w:t>
      </w:r>
    </w:p>
    <w:p w14:paraId="00EEC67C" w14:textId="77777777" w:rsidR="001B6C3B" w:rsidRDefault="001B6C3B" w:rsidP="001B6C3B">
      <w:pPr>
        <w:pStyle w:val="aa"/>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0" w:beforeAutospacing="0" w:after="0" w:afterAutospacing="0"/>
        <w:ind w:firstLine="709"/>
        <w:jc w:val="both"/>
      </w:pPr>
      <w:r>
        <w:t xml:space="preserve">Однако, согласно положениям статьи 584 Гражданского кодекса РФ, договор ренты, независимо от вида и стоимости имущества, переданного плательщику, подлежит обязательному нотариальному заверению, а в случае возникновения отчуждения - обязательному нотариальному заверению под выплату ренты недвижимого имущества, то и государственной регистрации. </w:t>
      </w:r>
    </w:p>
    <w:p w14:paraId="63412B48" w14:textId="77777777" w:rsidR="001B6C3B" w:rsidRDefault="001B6C3B" w:rsidP="001B6C3B">
      <w:pPr>
        <w:pStyle w:val="aa"/>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0" w:beforeAutospacing="0" w:after="0" w:afterAutospacing="0"/>
        <w:ind w:firstLine="709"/>
        <w:jc w:val="both"/>
      </w:pPr>
      <w:r>
        <w:t xml:space="preserve">Несоблюдение указанного правила влечет недействительность договора, который, тем не менее, является недействительным в силу пункта 1 статьи 165 Гражданского кодекса РФ. Это требование вполне оправдано, так как договор аренды чаще всего заключают лица, которые нуждаются не только в социальной и материальной помощи, но и в правовой защите своих прав, последствий заключения договора и т. д. </w:t>
      </w:r>
    </w:p>
    <w:p w14:paraId="562657C0" w14:textId="77777777" w:rsidR="001B6C3B" w:rsidRDefault="001B6C3B" w:rsidP="001B6C3B">
      <w:pPr>
        <w:pStyle w:val="aa"/>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0" w:beforeAutospacing="0" w:after="0" w:afterAutospacing="0"/>
        <w:ind w:firstLine="709"/>
        <w:jc w:val="both"/>
      </w:pPr>
      <w:r>
        <w:t>В этих условиях деятельность нотариуса в установление истинной воли обеих сторон арендных отношений, а также проверка законности содержания договора могут быть неоценимой услугой в предотвращении возможных правовых споров.</w:t>
      </w:r>
    </w:p>
    <w:p w14:paraId="180149F4" w14:textId="77777777" w:rsidR="001B6C3B" w:rsidRDefault="001B6C3B" w:rsidP="001B6C3B">
      <w:pPr>
        <w:pStyle w:val="aa"/>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0" w:beforeAutospacing="0" w:after="0" w:afterAutospacing="0"/>
        <w:ind w:firstLine="709"/>
        <w:jc w:val="both"/>
      </w:pPr>
      <w:r>
        <w:t>Таким образом, договор пожизненного содержания с иждивением является возмездным, так как предусматривает встречное удовлетворение, которое проявляется в потребности плательщика ренты к своему получателю рентных платежей взамен имущества, полученного в собственность; вещным, поскольку право требования рентных платежей возникает у получателя только после передачи его имущества в собственность плательщика ренты; односторонним; алеаторным, поскольку сумма рентных платежей в сумме может быть как больше, так и меньше стоимости имущества, переданного для уплаты ренты; длящийся, поскольку он подразумевает систематическое длительное выполнение плательщиком ренты своих обязанностей по содержанию получателя; фидуциарный, поскольку отношения сторон носят особый доверительный характер.</w:t>
      </w:r>
    </w:p>
    <w:p w14:paraId="047ECA05" w14:textId="77777777" w:rsidR="001B6C3B" w:rsidRDefault="001B6C3B" w:rsidP="001B6C3B">
      <w:pPr>
        <w:pStyle w:val="aa"/>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0" w:beforeAutospacing="0" w:after="0" w:afterAutospacing="0"/>
        <w:ind w:firstLine="709"/>
        <w:jc w:val="both"/>
      </w:pPr>
      <w:r>
        <w:t>Положения договора пожизненного содержания с иждивением содержатся в главе 33 Гражданского кодекса РФ, которая называется «аренда и пожизненное содержание с иждивением». Формулировка названия указанной главы 33 Гражданского кодекса РФ позволяет сделать вывод о том, что законодатель признает каждый из указанных в названии договора договоров ренты и пожизненно зависимым договором.</w:t>
      </w:r>
    </w:p>
    <w:p w14:paraId="0F18D406" w14:textId="77777777" w:rsidR="001B6C3B" w:rsidRDefault="001B6C3B" w:rsidP="001B6C3B">
      <w:pPr>
        <w:pStyle w:val="aa"/>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0" w:beforeAutospacing="0" w:after="0" w:afterAutospacing="0"/>
        <w:ind w:firstLine="709"/>
        <w:jc w:val="both"/>
      </w:pPr>
      <w:r>
        <w:t xml:space="preserve">Однако расположение абзацев в указанной главе структурировано таким образом, что первый из них посвящен общим правилам о договоре ренты как об определенном договорном виде (типе). Хотя первый абзац имеет название «Общие положения об аренде и зависимом жизнеобеспечении» - каждая из статей содержит указание на то, что именно она регулирует </w:t>
      </w:r>
      <w:r>
        <w:lastRenderedPageBreak/>
        <w:t>договор аренды. Более того, ни в одной из статей этого параграфа конкретно не упоминается договор пожизненного содержания с иждивением.</w:t>
      </w:r>
    </w:p>
    <w:p w14:paraId="468A921E" w14:textId="77777777" w:rsidR="001B6C3B" w:rsidRDefault="001B6C3B" w:rsidP="001B6C3B">
      <w:pPr>
        <w:pStyle w:val="aa"/>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0" w:beforeAutospacing="0" w:after="0" w:afterAutospacing="0"/>
        <w:ind w:firstLine="709"/>
        <w:jc w:val="both"/>
      </w:pPr>
    </w:p>
    <w:p w14:paraId="4D145B9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rFonts w:ascii="Times New Roman" w:hAnsi="Times New Roman" w:cs="Times New Roman"/>
          <w:b/>
          <w:sz w:val="24"/>
          <w:szCs w:val="24"/>
        </w:rPr>
      </w:pPr>
      <w:r>
        <w:rPr>
          <w:rFonts w:ascii="Times New Roman" w:hAnsi="Times New Roman" w:cs="Times New Roman"/>
          <w:b/>
          <w:sz w:val="24"/>
          <w:szCs w:val="24"/>
        </w:rPr>
        <w:t>Библиографический список</w:t>
      </w:r>
    </w:p>
    <w:p w14:paraId="210BAA9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rFonts w:ascii="Times New Roman" w:hAnsi="Times New Roman" w:cs="Times New Roman"/>
          <w:b/>
          <w:sz w:val="24"/>
          <w:szCs w:val="24"/>
        </w:rPr>
      </w:pPr>
    </w:p>
    <w:p w14:paraId="579D50A7" w14:textId="77777777" w:rsidR="001B6C3B" w:rsidRDefault="001B6C3B" w:rsidP="00E3198A">
      <w:pPr>
        <w:pStyle w:val="aa"/>
        <w:numPr>
          <w:ilvl w:val="0"/>
          <w:numId w:val="50"/>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pPr>
      <w:r>
        <w:t xml:space="preserve">Толковый словарь иностранных слов в русском языке. – Смоленск: Русич. -2001. - С. 575. </w:t>
      </w:r>
    </w:p>
    <w:p w14:paraId="492C0E07" w14:textId="77777777" w:rsidR="001B6C3B" w:rsidRDefault="001B6C3B" w:rsidP="00E3198A">
      <w:pPr>
        <w:pStyle w:val="a5"/>
        <w:numPr>
          <w:ilvl w:val="0"/>
          <w:numId w:val="5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Pr>
          <w:rFonts w:ascii="Times New Roman" w:hAnsi="Times New Roman" w:cs="Times New Roman"/>
          <w:sz w:val="24"/>
          <w:szCs w:val="24"/>
        </w:rPr>
        <w:t>Свод законов Российской империи (рус. дореф. Сводъ Законовъ Росс</w:t>
      </w:r>
      <w:r>
        <w:rPr>
          <w:rFonts w:ascii="Times New Roman" w:hAnsi="Times New Roman" w:cs="Times New Roman"/>
          <w:sz w:val="24"/>
          <w:szCs w:val="24"/>
          <w:lang w:val="en-US"/>
        </w:rPr>
        <w:t>i</w:t>
      </w:r>
      <w:r>
        <w:rPr>
          <w:rFonts w:ascii="Times New Roman" w:hAnsi="Times New Roman" w:cs="Times New Roman"/>
          <w:sz w:val="24"/>
          <w:szCs w:val="24"/>
        </w:rPr>
        <w:t>йской Импер</w:t>
      </w:r>
      <w:r>
        <w:rPr>
          <w:rFonts w:ascii="Times New Roman" w:hAnsi="Times New Roman" w:cs="Times New Roman"/>
          <w:sz w:val="24"/>
          <w:szCs w:val="24"/>
          <w:lang w:val="en-US"/>
        </w:rPr>
        <w:t>i</w:t>
      </w:r>
      <w:r>
        <w:rPr>
          <w:rFonts w:ascii="Times New Roman" w:hAnsi="Times New Roman" w:cs="Times New Roman"/>
          <w:sz w:val="24"/>
          <w:szCs w:val="24"/>
        </w:rPr>
        <w:t>и) – официальное издание расположенных в тематическом порядке действующих законодательных актов Российской империи, под рук. М.М. Сперанского / Хрестоматия по истории государства и права России: учеб. пособие / сост. Ю.П. Титов. – М.: ТК Велби, Изд-во Проспект. -2007.</w:t>
      </w:r>
    </w:p>
    <w:p w14:paraId="3A2309F2" w14:textId="77777777" w:rsidR="001B6C3B" w:rsidRDefault="001B6C3B" w:rsidP="00E3198A">
      <w:pPr>
        <w:pStyle w:val="a5"/>
        <w:numPr>
          <w:ilvl w:val="0"/>
          <w:numId w:val="5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Pr>
          <w:rFonts w:ascii="Times New Roman" w:hAnsi="Times New Roman" w:cs="Times New Roman"/>
          <w:i/>
          <w:sz w:val="24"/>
          <w:szCs w:val="24"/>
        </w:rPr>
        <w:t>Гринь Е.А., Сиденко А.А.</w:t>
      </w:r>
      <w:r>
        <w:rPr>
          <w:rFonts w:ascii="Times New Roman" w:hAnsi="Times New Roman" w:cs="Times New Roman"/>
          <w:sz w:val="24"/>
          <w:szCs w:val="24"/>
        </w:rPr>
        <w:t xml:space="preserve"> Процедура проведения аукциона по предоставлению лесных участков в аренду / </w:t>
      </w:r>
      <w:r>
        <w:rPr>
          <w:rFonts w:ascii="Times New Roman" w:hAnsi="Times New Roman" w:cs="Times New Roman"/>
          <w:i/>
          <w:sz w:val="24"/>
          <w:szCs w:val="24"/>
        </w:rPr>
        <w:t>Гринь Е.А., Сиденко А.А.</w:t>
      </w:r>
      <w:r>
        <w:rPr>
          <w:rFonts w:ascii="Times New Roman" w:hAnsi="Times New Roman" w:cs="Times New Roman"/>
          <w:sz w:val="24"/>
          <w:szCs w:val="24"/>
        </w:rPr>
        <w:t xml:space="preserve"> // Политематический сетевой электронный научный журнал Кубанского государственного аграрного университета. -2015. </w:t>
      </w:r>
      <w:hyperlink r:id="rId50" w:history="1">
        <w:r>
          <w:rPr>
            <w:rStyle w:val="a9"/>
            <w:rFonts w:ascii="Times New Roman" w:hAnsi="Times New Roman" w:cs="Times New Roman"/>
            <w:sz w:val="24"/>
            <w:szCs w:val="24"/>
          </w:rPr>
          <w:t>№ 109</w:t>
        </w:r>
      </w:hyperlink>
      <w:r>
        <w:rPr>
          <w:rFonts w:ascii="Times New Roman" w:hAnsi="Times New Roman" w:cs="Times New Roman"/>
          <w:sz w:val="24"/>
          <w:szCs w:val="24"/>
        </w:rPr>
        <w:t>. - С. 1181-1190.</w:t>
      </w:r>
    </w:p>
    <w:p w14:paraId="6D4155DD" w14:textId="77777777" w:rsidR="001B6C3B" w:rsidRDefault="001B6C3B" w:rsidP="00E3198A">
      <w:pPr>
        <w:pStyle w:val="a5"/>
        <w:numPr>
          <w:ilvl w:val="0"/>
          <w:numId w:val="5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Pr>
          <w:rFonts w:ascii="Times New Roman" w:hAnsi="Times New Roman" w:cs="Times New Roman"/>
          <w:sz w:val="24"/>
          <w:szCs w:val="24"/>
        </w:rPr>
        <w:t xml:space="preserve">Гражданский кодекс РСФСР // Антология правовой и политической мысли. -Т. 5. -М., 1997. - 799 с. </w:t>
      </w:r>
    </w:p>
    <w:p w14:paraId="7E87EE07" w14:textId="77777777" w:rsidR="001B6C3B" w:rsidRDefault="001B6C3B" w:rsidP="00E3198A">
      <w:pPr>
        <w:pStyle w:val="a5"/>
        <w:numPr>
          <w:ilvl w:val="0"/>
          <w:numId w:val="5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Pr>
          <w:rFonts w:ascii="Times New Roman" w:hAnsi="Times New Roman" w:cs="Times New Roman"/>
          <w:sz w:val="24"/>
          <w:szCs w:val="24"/>
        </w:rPr>
        <w:t xml:space="preserve">Конституция Российской Федерации, принятая референдумом 12 декабря 1993 года с изм и доп 2009 и 2014гг. // Российская газета. 1993. 25 дек.  </w:t>
      </w:r>
    </w:p>
    <w:p w14:paraId="3FC36E5D" w14:textId="77777777" w:rsidR="001B6C3B" w:rsidRDefault="001B6C3B" w:rsidP="00E3198A">
      <w:pPr>
        <w:pStyle w:val="a5"/>
        <w:numPr>
          <w:ilvl w:val="0"/>
          <w:numId w:val="5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Pr>
          <w:rFonts w:ascii="Times New Roman" w:hAnsi="Times New Roman" w:cs="Times New Roman"/>
          <w:sz w:val="24"/>
          <w:szCs w:val="24"/>
        </w:rPr>
        <w:t>Гражданский кодекс Российской Федерации: Федеральный закон от 30.11.1994г. №51-ФЗ в ред. 2020г. // Российская газета. 1994. 03 дек.</w:t>
      </w:r>
    </w:p>
    <w:p w14:paraId="476DCE4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sectPr w:rsidR="001B6C3B">
          <w:footnotePr>
            <w:numRestart w:val="eachPage"/>
          </w:footnotePr>
          <w:pgSz w:w="11906" w:h="16838"/>
          <w:pgMar w:top="1134" w:right="1134" w:bottom="1134" w:left="1134" w:header="708" w:footer="708" w:gutter="0"/>
          <w:cols w:space="720"/>
        </w:sectPr>
      </w:pPr>
    </w:p>
    <w:p w14:paraId="62FF036F" w14:textId="77777777" w:rsidR="001B6C3B" w:rsidRDefault="001B6C3B" w:rsidP="001B6C3B">
      <w:pPr>
        <w:pStyle w:val="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left="4253"/>
        <w:jc w:val="both"/>
        <w:rPr>
          <w:rStyle w:val="FontStyle19"/>
          <w:sz w:val="24"/>
          <w:szCs w:val="24"/>
        </w:rPr>
      </w:pPr>
      <w:r>
        <w:rPr>
          <w:rStyle w:val="FontStyle19"/>
          <w:sz w:val="24"/>
          <w:szCs w:val="24"/>
        </w:rPr>
        <w:lastRenderedPageBreak/>
        <w:t>УДК 343.535</w:t>
      </w:r>
    </w:p>
    <w:p w14:paraId="6C339256" w14:textId="77777777" w:rsidR="001B6C3B" w:rsidRDefault="001B6C3B" w:rsidP="001B6C3B">
      <w:pPr>
        <w:pStyle w:val="Style3"/>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left="4253"/>
        <w:rPr>
          <w:rStyle w:val="FontStyle19"/>
          <w:b/>
          <w:i w:val="0"/>
          <w:caps/>
        </w:rPr>
      </w:pPr>
    </w:p>
    <w:p w14:paraId="1181E55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left="4253"/>
        <w:jc w:val="both"/>
        <w:rPr>
          <w:sz w:val="24"/>
          <w:szCs w:val="24"/>
        </w:rPr>
      </w:pPr>
      <w:r>
        <w:rPr>
          <w:rFonts w:ascii="Times New Roman" w:hAnsi="Times New Roman" w:cs="Times New Roman"/>
          <w:b/>
          <w:sz w:val="24"/>
          <w:szCs w:val="24"/>
        </w:rPr>
        <w:t>Щербаков Александр Валерьевич</w:t>
      </w:r>
    </w:p>
    <w:p w14:paraId="3F488E2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left="4253"/>
        <w:jc w:val="both"/>
        <w:rPr>
          <w:rFonts w:ascii="Times New Roman" w:hAnsi="Times New Roman" w:cs="Times New Roman"/>
          <w:b/>
          <w:sz w:val="24"/>
          <w:szCs w:val="24"/>
        </w:rPr>
      </w:pPr>
      <w:r>
        <w:rPr>
          <w:rFonts w:ascii="Times New Roman" w:hAnsi="Times New Roman" w:cs="Times New Roman"/>
          <w:b/>
          <w:sz w:val="24"/>
          <w:szCs w:val="24"/>
        </w:rPr>
        <w:t>Shcherbakov Alexandr Valer’evich</w:t>
      </w:r>
    </w:p>
    <w:p w14:paraId="5D81590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253"/>
        <w:jc w:val="both"/>
        <w:rPr>
          <w:rFonts w:ascii="Times New Roman" w:hAnsi="Times New Roman" w:cs="Times New Roman"/>
          <w:sz w:val="24"/>
          <w:szCs w:val="24"/>
        </w:rPr>
      </w:pPr>
      <w:r>
        <w:rPr>
          <w:rFonts w:ascii="Times New Roman" w:hAnsi="Times New Roman" w:cs="Times New Roman"/>
          <w:sz w:val="24"/>
          <w:szCs w:val="24"/>
        </w:rPr>
        <w:t>магистр, Федеральное государственное бюджетное образовательное учреждение высшего образования «Кубанский государственный аграрный университет имени И.Т. Трубилина»</w:t>
      </w:r>
    </w:p>
    <w:p w14:paraId="464282D2"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53"/>
        <w:jc w:val="both"/>
        <w:rPr>
          <w:lang w:eastAsia="en-US"/>
        </w:rPr>
      </w:pPr>
      <w:r>
        <w:rPr>
          <w:lang w:eastAsia="en-US"/>
        </w:rPr>
        <w:t>Federal State Budgetary Educational Institution of Higher Education</w:t>
      </w:r>
    </w:p>
    <w:p w14:paraId="00A17B20"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53"/>
        <w:jc w:val="both"/>
        <w:rPr>
          <w:lang w:eastAsia="en-US"/>
        </w:rPr>
      </w:pPr>
      <w:r>
        <w:rPr>
          <w:lang w:eastAsia="en-US"/>
        </w:rPr>
        <w:t>“Kuban State Agrarian University named after I.T. Trubilin”</w:t>
      </w:r>
    </w:p>
    <w:p w14:paraId="4DFD1D04"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53"/>
        <w:jc w:val="both"/>
        <w:rPr>
          <w:lang w:val="ru-RU" w:eastAsia="en-US"/>
        </w:rPr>
      </w:pPr>
      <w:r>
        <w:rPr>
          <w:lang w:val="ru-RU" w:eastAsia="en-US"/>
        </w:rPr>
        <w:t>Российская Федерация, г. Краснодар</w:t>
      </w:r>
    </w:p>
    <w:p w14:paraId="024F0A9C"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53"/>
        <w:jc w:val="both"/>
        <w:rPr>
          <w:lang w:val="ru-RU" w:eastAsia="en-US"/>
        </w:rPr>
      </w:pPr>
      <w:r>
        <w:rPr>
          <w:lang w:eastAsia="en-US"/>
        </w:rPr>
        <w:t>Russian</w:t>
      </w:r>
      <w:r>
        <w:rPr>
          <w:lang w:val="ru-RU" w:eastAsia="en-US"/>
        </w:rPr>
        <w:t xml:space="preserve"> </w:t>
      </w:r>
      <w:r>
        <w:rPr>
          <w:lang w:eastAsia="en-US"/>
        </w:rPr>
        <w:t>Federation</w:t>
      </w:r>
      <w:r>
        <w:rPr>
          <w:lang w:val="ru-RU" w:eastAsia="en-US"/>
        </w:rPr>
        <w:t xml:space="preserve">, </w:t>
      </w:r>
      <w:r>
        <w:rPr>
          <w:lang w:eastAsia="en-US"/>
        </w:rPr>
        <w:t>Krasnodar</w:t>
      </w:r>
    </w:p>
    <w:p w14:paraId="2D56ADA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253"/>
        <w:jc w:val="both"/>
        <w:rPr>
          <w:rFonts w:ascii="Times New Roman" w:hAnsi="Times New Roman" w:cs="Times New Roman"/>
          <w:sz w:val="24"/>
          <w:szCs w:val="24"/>
        </w:rPr>
      </w:pPr>
      <w:r>
        <w:rPr>
          <w:rFonts w:ascii="Times New Roman" w:hAnsi="Times New Roman" w:cs="Times New Roman"/>
          <w:sz w:val="24"/>
          <w:szCs w:val="24"/>
        </w:rPr>
        <w:t>alexandr73737@gmail.com</w:t>
      </w:r>
    </w:p>
    <w:p w14:paraId="7151D017" w14:textId="77777777" w:rsidR="001B6C3B" w:rsidRDefault="001B6C3B" w:rsidP="001B6C3B">
      <w:pPr>
        <w:pStyle w:val="Style3"/>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rPr>
          <w:rStyle w:val="FontStyle19"/>
          <w:b/>
          <w:i w:val="0"/>
          <w:caps/>
        </w:rPr>
      </w:pPr>
    </w:p>
    <w:p w14:paraId="6AA8F811" w14:textId="77777777" w:rsidR="001B6C3B" w:rsidRPr="00E91627" w:rsidRDefault="001B6C3B" w:rsidP="001B6C3B">
      <w:pPr>
        <w:pStyle w:val="Style3"/>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center"/>
        <w:rPr>
          <w:rStyle w:val="FontStyle19"/>
          <w:b/>
          <w:i w:val="0"/>
          <w:caps/>
          <w:sz w:val="24"/>
          <w:szCs w:val="24"/>
        </w:rPr>
      </w:pPr>
      <w:r w:rsidRPr="00E91627">
        <w:rPr>
          <w:rStyle w:val="FontStyle19"/>
          <w:b/>
          <w:i w:val="0"/>
          <w:caps/>
          <w:sz w:val="24"/>
          <w:szCs w:val="24"/>
        </w:rPr>
        <w:t>Понятие оспариваемых сделок должника в процедурах несостоятельности (банкротства) юридических лиц</w:t>
      </w:r>
    </w:p>
    <w:p w14:paraId="6F418BCD" w14:textId="77777777" w:rsidR="001B6C3B" w:rsidRPr="00E91627" w:rsidRDefault="001B6C3B" w:rsidP="001B6C3B">
      <w:pPr>
        <w:pStyle w:val="Style3"/>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center"/>
        <w:rPr>
          <w:rStyle w:val="FontStyle19"/>
          <w:b/>
          <w:i w:val="0"/>
          <w:caps/>
          <w:sz w:val="24"/>
          <w:szCs w:val="24"/>
        </w:rPr>
      </w:pPr>
    </w:p>
    <w:p w14:paraId="409D1954" w14:textId="77777777" w:rsidR="001B6C3B" w:rsidRPr="00E91627" w:rsidRDefault="001B6C3B" w:rsidP="001B6C3B">
      <w:pPr>
        <w:pStyle w:val="Style3"/>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center"/>
        <w:rPr>
          <w:rStyle w:val="FontStyle19"/>
          <w:b/>
          <w:i w:val="0"/>
          <w:caps/>
          <w:sz w:val="24"/>
          <w:szCs w:val="24"/>
          <w:lang w:val="en-US"/>
        </w:rPr>
      </w:pPr>
      <w:r w:rsidRPr="00E91627">
        <w:rPr>
          <w:rStyle w:val="FontStyle19"/>
          <w:b/>
          <w:i w:val="0"/>
          <w:caps/>
          <w:sz w:val="24"/>
          <w:szCs w:val="24"/>
          <w:lang w:val="en-US"/>
        </w:rPr>
        <w:t>Concept of contested transactions of the debtor in insolvency (bankruptcy) proceedings of legal entities</w:t>
      </w:r>
    </w:p>
    <w:p w14:paraId="65E18E0B" w14:textId="77777777" w:rsidR="001B6C3B" w:rsidRPr="00430C1C" w:rsidRDefault="001B6C3B" w:rsidP="001B6C3B">
      <w:pPr>
        <w:pStyle w:val="Style3"/>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rPr>
          <w:lang w:val="en-US"/>
        </w:rPr>
      </w:pPr>
    </w:p>
    <w:p w14:paraId="191336B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i/>
          <w:sz w:val="24"/>
          <w:szCs w:val="24"/>
        </w:rPr>
        <w:t>Аннотация:</w:t>
      </w:r>
      <w:r>
        <w:rPr>
          <w:rFonts w:ascii="Times New Roman" w:hAnsi="Times New Roman" w:cs="Times New Roman"/>
          <w:sz w:val="24"/>
          <w:szCs w:val="24"/>
        </w:rPr>
        <w:t xml:space="preserve"> В статье рассматривается вопрос об определении  понятия оспариваемых сделок должника в процедурах несостоятельности (банкротства) юридических лиц. Проведено сравнительно-правовое исследование как общего определения исследуемого понятия, так и специальной его дефиниции. Также на базе нормативной и доктринальной классификации исследуемого понятия были проанализированы актуальные проблемы судебно-арбитражной практики по делам о банкротстве, а также новеллы и тенденции развития отечественной цивилистики.</w:t>
      </w:r>
    </w:p>
    <w:p w14:paraId="11276BA5" w14:textId="284EFEAA" w:rsidR="001B6C3B" w:rsidRDefault="001B6C3B" w:rsidP="001B6C3B">
      <w:pPr>
        <w:pStyle w:val="Style3"/>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pPr>
      <w:r>
        <w:rPr>
          <w:bCs/>
          <w:i/>
        </w:rPr>
        <w:t>Ключевые слова</w:t>
      </w:r>
      <w:r>
        <w:rPr>
          <w:b/>
          <w:i/>
        </w:rPr>
        <w:t>:</w:t>
      </w:r>
      <w:r>
        <w:rPr>
          <w:i/>
        </w:rPr>
        <w:t xml:space="preserve"> </w:t>
      </w:r>
      <w:r>
        <w:t>несостоятельность; банкротство; оспаривание сделки; недействительность сделки; понятие оспариваемых сделок; юридическое лицо; субъекты оспаривания сделки; недействительные сделки; субъекты оспаривания сделок; разновидности оспариваемых сделок.</w:t>
      </w:r>
    </w:p>
    <w:p w14:paraId="305945E6" w14:textId="77777777" w:rsidR="001B6C3B" w:rsidRDefault="001B6C3B" w:rsidP="001B6C3B">
      <w:pPr>
        <w:pStyle w:val="Style3"/>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pPr>
    </w:p>
    <w:p w14:paraId="6BDB61CB" w14:textId="77777777" w:rsidR="001B6C3B" w:rsidRPr="00E91627" w:rsidRDefault="001B6C3B" w:rsidP="001B6C3B">
      <w:pPr>
        <w:pStyle w:val="Style3"/>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rPr>
          <w:rStyle w:val="FontStyle19"/>
          <w:i w:val="0"/>
          <w:sz w:val="24"/>
          <w:szCs w:val="24"/>
          <w:lang w:val="en-US"/>
        </w:rPr>
      </w:pPr>
      <w:r w:rsidRPr="00E91627">
        <w:rPr>
          <w:rStyle w:val="FontStyle19"/>
          <w:i w:val="0"/>
          <w:sz w:val="24"/>
          <w:szCs w:val="24"/>
          <w:lang w:val="en-US"/>
        </w:rPr>
        <w:t>Аnnotation: The article deals with the definition of the concept of contested transactions of the debtor in insolvency (bankruptcy) proceedings of legal entities. A comparative legal study of both the general definition of the concept under study and its special definition has been carried out. Also on the basis of the normative and doctrinal classification of the investigated concept, the current problems of judicial and arbitration practice in bankruptcy cases, as well as innovations and trends in the development of domestic civilistics were analyzed.</w:t>
      </w:r>
    </w:p>
    <w:p w14:paraId="5A438F66" w14:textId="77777777" w:rsidR="001B6C3B" w:rsidRPr="00E91627" w:rsidRDefault="001B6C3B" w:rsidP="001B6C3B">
      <w:pPr>
        <w:pStyle w:val="Style3"/>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rPr>
          <w:rStyle w:val="FontStyle19"/>
          <w:i w:val="0"/>
          <w:sz w:val="24"/>
          <w:szCs w:val="24"/>
          <w:lang w:val="en-US"/>
        </w:rPr>
      </w:pPr>
      <w:r w:rsidRPr="00E91627">
        <w:rPr>
          <w:rStyle w:val="FontStyle19"/>
          <w:i w:val="0"/>
          <w:sz w:val="24"/>
          <w:szCs w:val="24"/>
          <w:lang w:val="en-US"/>
        </w:rPr>
        <w:t>Keywords: insolvency</w:t>
      </w:r>
      <w:r w:rsidRPr="00E91627">
        <w:rPr>
          <w:i/>
          <w:lang w:val="en-US"/>
        </w:rPr>
        <w:t>;</w:t>
      </w:r>
      <w:r w:rsidRPr="00E91627">
        <w:rPr>
          <w:rStyle w:val="FontStyle19"/>
          <w:i w:val="0"/>
          <w:sz w:val="24"/>
          <w:szCs w:val="24"/>
          <w:lang w:val="en-US"/>
        </w:rPr>
        <w:t xml:space="preserve"> bankruptcy</w:t>
      </w:r>
      <w:r w:rsidRPr="00E91627">
        <w:rPr>
          <w:i/>
          <w:lang w:val="en-US"/>
        </w:rPr>
        <w:t>;</w:t>
      </w:r>
      <w:r w:rsidRPr="00E91627">
        <w:rPr>
          <w:rStyle w:val="FontStyle19"/>
          <w:i w:val="0"/>
          <w:sz w:val="24"/>
          <w:szCs w:val="24"/>
          <w:lang w:val="en-US"/>
        </w:rPr>
        <w:t xml:space="preserve"> transaction challenge</w:t>
      </w:r>
      <w:r w:rsidRPr="00E91627">
        <w:rPr>
          <w:i/>
          <w:lang w:val="en-US"/>
        </w:rPr>
        <w:t>;</w:t>
      </w:r>
      <w:r w:rsidRPr="00E91627">
        <w:rPr>
          <w:rStyle w:val="FontStyle19"/>
          <w:i w:val="0"/>
          <w:sz w:val="24"/>
          <w:szCs w:val="24"/>
          <w:lang w:val="en-US"/>
        </w:rPr>
        <w:t xml:space="preserve"> transaction invalidity</w:t>
      </w:r>
      <w:r w:rsidRPr="00E91627">
        <w:rPr>
          <w:i/>
          <w:lang w:val="en-US"/>
        </w:rPr>
        <w:t>;</w:t>
      </w:r>
      <w:r w:rsidRPr="00E91627">
        <w:rPr>
          <w:rStyle w:val="FontStyle19"/>
          <w:i w:val="0"/>
          <w:sz w:val="24"/>
          <w:szCs w:val="24"/>
          <w:lang w:val="en-US"/>
        </w:rPr>
        <w:t xml:space="preserve"> concept of contested transactions</w:t>
      </w:r>
      <w:r w:rsidRPr="00E91627">
        <w:rPr>
          <w:i/>
          <w:lang w:val="en-US"/>
        </w:rPr>
        <w:t>;</w:t>
      </w:r>
      <w:r w:rsidRPr="00E91627">
        <w:rPr>
          <w:rStyle w:val="FontStyle19"/>
          <w:i w:val="0"/>
          <w:sz w:val="24"/>
          <w:szCs w:val="24"/>
          <w:lang w:val="en-US"/>
        </w:rPr>
        <w:t xml:space="preserve"> legal entity</w:t>
      </w:r>
      <w:r w:rsidRPr="00E91627">
        <w:rPr>
          <w:i/>
          <w:lang w:val="en-US"/>
        </w:rPr>
        <w:t>;</w:t>
      </w:r>
      <w:r w:rsidRPr="00E91627">
        <w:rPr>
          <w:rStyle w:val="FontStyle19"/>
          <w:i w:val="0"/>
          <w:sz w:val="24"/>
          <w:szCs w:val="24"/>
          <w:lang w:val="en-US"/>
        </w:rPr>
        <w:t xml:space="preserve"> subjects of transaction challenge</w:t>
      </w:r>
      <w:r w:rsidRPr="00E91627">
        <w:rPr>
          <w:i/>
          <w:lang w:val="en-US"/>
        </w:rPr>
        <w:t>;</w:t>
      </w:r>
      <w:r w:rsidRPr="00E91627">
        <w:rPr>
          <w:rStyle w:val="FontStyle19"/>
          <w:i w:val="0"/>
          <w:sz w:val="24"/>
          <w:szCs w:val="24"/>
          <w:lang w:val="en-US"/>
        </w:rPr>
        <w:t xml:space="preserve"> invalid transactions</w:t>
      </w:r>
      <w:r w:rsidRPr="00E91627">
        <w:rPr>
          <w:i/>
          <w:lang w:val="en-US"/>
        </w:rPr>
        <w:t>;</w:t>
      </w:r>
      <w:r w:rsidRPr="00E91627">
        <w:rPr>
          <w:rStyle w:val="FontStyle19"/>
          <w:i w:val="0"/>
          <w:sz w:val="24"/>
          <w:szCs w:val="24"/>
          <w:lang w:val="en-US"/>
        </w:rPr>
        <w:t xml:space="preserve"> subjects of transaction challenge</w:t>
      </w:r>
      <w:r w:rsidRPr="00E91627">
        <w:rPr>
          <w:i/>
          <w:lang w:val="en-US"/>
        </w:rPr>
        <w:t>;</w:t>
      </w:r>
      <w:r w:rsidRPr="00E91627">
        <w:rPr>
          <w:rStyle w:val="FontStyle19"/>
          <w:i w:val="0"/>
          <w:sz w:val="24"/>
          <w:szCs w:val="24"/>
          <w:lang w:val="en-US"/>
        </w:rPr>
        <w:t xml:space="preserve"> type of contested transactions.</w:t>
      </w:r>
    </w:p>
    <w:p w14:paraId="6CE11032" w14:textId="77777777" w:rsidR="001B6C3B" w:rsidRDefault="001B6C3B" w:rsidP="001B6C3B">
      <w:pPr>
        <w:pStyle w:val="Style3"/>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rPr>
          <w:rStyle w:val="FontStyle19"/>
          <w:i w:val="0"/>
          <w:lang w:val="en-US"/>
        </w:rPr>
      </w:pPr>
    </w:p>
    <w:p w14:paraId="11374DB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eastAsia="Calibri"/>
          <w:sz w:val="24"/>
          <w:szCs w:val="24"/>
        </w:rPr>
      </w:pPr>
      <w:r>
        <w:rPr>
          <w:rFonts w:ascii="Times New Roman" w:eastAsia="Calibri" w:hAnsi="Times New Roman" w:cs="Times New Roman"/>
          <w:sz w:val="24"/>
          <w:szCs w:val="24"/>
        </w:rPr>
        <w:t>Невозможно переоценить актуальность и значимость оспаривания операций несостоятельного лица в ходе положения, сложившегося ввиду процедур, указанных в Федеральном законе "О несостоятельности (банкротстве)"</w:t>
      </w:r>
      <w:r>
        <w:rPr>
          <w:rStyle w:val="a7"/>
          <w:rFonts w:ascii="Times New Roman" w:eastAsia="Calibri" w:hAnsi="Times New Roman" w:cs="Times New Roman"/>
          <w:sz w:val="24"/>
          <w:szCs w:val="24"/>
        </w:rPr>
        <w:footnoteReference w:id="391"/>
      </w:r>
      <w:r>
        <w:rPr>
          <w:rFonts w:ascii="Times New Roman" w:eastAsia="Calibri" w:hAnsi="Times New Roman" w:cs="Times New Roman"/>
          <w:sz w:val="24"/>
          <w:szCs w:val="24"/>
        </w:rPr>
        <w:t xml:space="preserve">. Право по оспариванию операций несостоятельного лица является наиболее эффективным средством правовой защиты, которое может потенциально способствовать погашению совокупного долга должника по банкротству в результате возврата ранее отчужденного у него имущества. Постоянное увеличение количества ситуаций и дел, рассматриваемых арбитражными судами по данной категории дел, </w:t>
      </w:r>
      <w:r>
        <w:rPr>
          <w:rFonts w:ascii="Times New Roman" w:eastAsia="Calibri" w:hAnsi="Times New Roman" w:cs="Times New Roman"/>
          <w:sz w:val="24"/>
          <w:szCs w:val="24"/>
        </w:rPr>
        <w:lastRenderedPageBreak/>
        <w:t>подтверждает актуальность и важность изучения проблемы определения понятия оспариваемых сделок должника в процедурах несостоятельности (банкротства) юридических лиц в контексте данного научного исследования. В ходе изучения указанной проблемы, проведенного в рамках данной статьи, и по его итогам будет сформулировано понятие оспариваемых сделок должника в процедурах несостоятельности (банкротства) юридических лиц.</w:t>
      </w:r>
    </w:p>
    <w:p w14:paraId="11AC5F2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Действующим Гражданским кодексом Российской Федерации предусмотрено разделение недействительных сделок на следующие разновидности: недействительные по основаниям, установленным гражданским законодательством и на основании их признания таковыми по суду, то есть, так называемые, оспоримые сделки; недействительные независимо от указанного признания то есть, так называемые, ничтожные операции. В статье 166 Гражданского кодекса Российской Федерации перечислены два вида недействительных сделок, такие как ничтожные и оспоримые операции</w:t>
      </w:r>
      <w:r>
        <w:rPr>
          <w:rStyle w:val="a7"/>
          <w:rFonts w:ascii="Times New Roman" w:eastAsia="Calibri" w:hAnsi="Times New Roman" w:cs="Times New Roman"/>
          <w:sz w:val="24"/>
          <w:szCs w:val="24"/>
        </w:rPr>
        <w:footnoteReference w:id="392"/>
      </w:r>
      <w:r>
        <w:rPr>
          <w:rFonts w:ascii="Times New Roman" w:eastAsia="Calibri" w:hAnsi="Times New Roman" w:cs="Times New Roman"/>
          <w:sz w:val="24"/>
          <w:szCs w:val="24"/>
        </w:rPr>
        <w:t>. В пункте 4 Постановления Пленума ВАС РФ от 23 декабря 2010 г. № 63 четко все изложено относительно оспоримости и ничтожности сделок: «предусмотренные ст. 61.2 и 61.3 Закона о банкротстве основания недействительности операций влекут оспоримость, а не ничтожность конкретных договоров». Похоже, что рассматриваемая операция должна быть охарактеризована как условно действительная сделка, недействительность которой зависит от того, каким образом лицо признало право оспаривать сделку, принадлежащее этому лицу, тогда как это право по самой своей природе является преобразующим правом</w:t>
      </w:r>
      <w:r>
        <w:rPr>
          <w:rStyle w:val="a7"/>
          <w:rFonts w:ascii="Times New Roman" w:eastAsia="Calibri" w:hAnsi="Times New Roman" w:cs="Times New Roman"/>
          <w:sz w:val="24"/>
          <w:szCs w:val="24"/>
        </w:rPr>
        <w:footnoteReference w:id="393"/>
      </w:r>
      <w:r>
        <w:rPr>
          <w:rFonts w:ascii="Times New Roman" w:eastAsia="Calibri" w:hAnsi="Times New Roman" w:cs="Times New Roman"/>
          <w:sz w:val="24"/>
          <w:szCs w:val="24"/>
        </w:rPr>
        <w:t>.</w:t>
      </w:r>
    </w:p>
    <w:p w14:paraId="1CCA816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Итак, приступим к кропотливому изучению заявленной темы данной научной статьи. Одной из наиболее распространенных ситуаций при банкротстве юридического лица является практически полное «исчезновение» активов фирмы, при том, что начато производство по делу о несостоятельности данной организации. Причин такого вреда имуществу юридического лица может быть много, в том числе намеренные сделки, которые имеют отрицательные последствия для компании. Поэтому для достижения цели нашего исследования и наиболее глубокого и разностороннего изучения заявленной проблемы, имеет смысл рассмотреть виды оспариваемых сделок в качестве главных элементов, составляющих объем формируемого нами определения понятия оспариваемых сделок должника в процедурах несостоятельности (банкротства) юридических лиц</w:t>
      </w:r>
      <w:r>
        <w:rPr>
          <w:rStyle w:val="a7"/>
          <w:rFonts w:ascii="Times New Roman" w:eastAsia="Calibri" w:hAnsi="Times New Roman" w:cs="Times New Roman"/>
          <w:sz w:val="24"/>
          <w:szCs w:val="24"/>
        </w:rPr>
        <w:footnoteReference w:id="394"/>
      </w:r>
      <w:r>
        <w:rPr>
          <w:rFonts w:ascii="Times New Roman" w:eastAsia="Calibri" w:hAnsi="Times New Roman" w:cs="Times New Roman"/>
          <w:sz w:val="24"/>
          <w:szCs w:val="24"/>
        </w:rPr>
        <w:t>.</w:t>
      </w:r>
    </w:p>
    <w:p w14:paraId="1FD3356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Определение сделки, которая может быть оспорена из-за обстоятельств, возникающих ввиду осуществления процедуры несостоятельности (банкротства), является по совему объему намного более широким явлением правовой действительности, чем гражданско-правовая концепция сделки, изложенная в статье 153 Гражданского кодекса Российской Федерации. Во-первых, из-за «банкротства» можно оспаривать действия, направленные на выполнение гражданско-правовых обязательств, такие как денежные или безналичные выплаты денежной задолженности кредитору, передача других активов должником кредитору, урегулирование заявления о зачете, соглашение об новации, компенсация по отступным и т. д</w:t>
      </w:r>
      <w:r>
        <w:rPr>
          <w:rStyle w:val="a7"/>
          <w:rFonts w:ascii="Times New Roman" w:eastAsia="Calibri" w:hAnsi="Times New Roman" w:cs="Times New Roman"/>
          <w:sz w:val="24"/>
          <w:szCs w:val="24"/>
        </w:rPr>
        <w:footnoteReference w:id="395"/>
      </w:r>
      <w:r>
        <w:rPr>
          <w:rFonts w:ascii="Times New Roman" w:eastAsia="Calibri" w:hAnsi="Times New Roman" w:cs="Times New Roman"/>
          <w:sz w:val="24"/>
          <w:szCs w:val="24"/>
        </w:rPr>
        <w:t>.</w:t>
      </w:r>
    </w:p>
    <w:p w14:paraId="04B4298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Кроме того, механизм совершения сделок в ходе процедур несостоятельности (банкротства) дает возможность для оспаривания действий, которые имеют своей целью соблюдение обязательств и обязанностей по трудовому законодательству, семейному праву, налоговому законодательству, таможенному законодательству, процессуальному праву и другим разделам законодательства Российской Федерации. К таковым подразделяют, в особенности, выплаты заработной платы, брачные договоры, соглашение о разделе </w:t>
      </w:r>
      <w:r>
        <w:rPr>
          <w:rFonts w:ascii="Times New Roman" w:eastAsia="Calibri" w:hAnsi="Times New Roman" w:cs="Times New Roman"/>
          <w:sz w:val="24"/>
          <w:szCs w:val="24"/>
        </w:rPr>
        <w:lastRenderedPageBreak/>
        <w:t>совместной собственности супругов, уплату налогов, сборов и пошлин плательщиком и списание средств со счета плательщика от имени компетентного государственного органа, передача лицу, которое обладает правом наложения взыскания в ходе исполнительного производства, заключенный должником по другому вопросу. Кредитные операции, которые могут быть оспорены в соответствии с положениями Закона о банкротстве, подразделяются на подозрительные и преференциальные. Подозрительные операции далее подразделяются на нерыночные операции (п. 1 ст. 61.2 Закона о банкротстве) и операции, осуществляемые за счет вредных последствий для кредиторов (п. 2 ст. 61.2 Закона о банкротстве). Эти транзакции могут быть оспорены в течение установленного законом срока подозрительности указанных сделок</w:t>
      </w:r>
      <w:r>
        <w:rPr>
          <w:rStyle w:val="a7"/>
          <w:rFonts w:ascii="Times New Roman" w:eastAsia="Calibri" w:hAnsi="Times New Roman" w:cs="Times New Roman"/>
          <w:sz w:val="24"/>
          <w:szCs w:val="24"/>
        </w:rPr>
        <w:footnoteReference w:id="396"/>
      </w:r>
      <w:r>
        <w:rPr>
          <w:rFonts w:ascii="Times New Roman" w:eastAsia="Calibri" w:hAnsi="Times New Roman" w:cs="Times New Roman"/>
          <w:sz w:val="24"/>
          <w:szCs w:val="24"/>
        </w:rPr>
        <w:t>.</w:t>
      </w:r>
    </w:p>
    <w:p w14:paraId="0EA9DE9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Нерыночные сделки могут быть оспорены, если они завершены в течение одного года до или после получения заявления о несостоятельности. Доказательства в этой категории случаев включают в себя несоответствие между ценой сделки  или другими ее условиями на момент ее заключения, ценой или другими условиями, при которых аналогичные сделки происходят в сопоставимых обстоятельствах</w:t>
      </w:r>
      <w:r>
        <w:rPr>
          <w:rStyle w:val="a7"/>
          <w:rFonts w:ascii="Times New Roman" w:eastAsia="Calibri" w:hAnsi="Times New Roman" w:cs="Times New Roman"/>
          <w:sz w:val="24"/>
          <w:szCs w:val="24"/>
        </w:rPr>
        <w:footnoteReference w:id="397"/>
      </w:r>
      <w:r>
        <w:rPr>
          <w:rFonts w:ascii="Times New Roman" w:eastAsia="Calibri" w:hAnsi="Times New Roman" w:cs="Times New Roman"/>
          <w:sz w:val="24"/>
          <w:szCs w:val="24"/>
        </w:rPr>
        <w:t>. При сравнении условий транзакции с аналогичными транзакциями следует учитывать как условия аналогичных транзакций, совершенных должником, так и условия, на которых аналогичные транзакции совершались другими участниками оборота. В этом случае нет необходимости доказывать другие обстоятельства, такие как нечестность контрагента должника. Сделка, направленная на причинение ущерба имущественным правам кредиторов, может быть отменена, если такая сделка была завершена в течение трех лет до или после принятия заявления о банкротстве должника. Доказательства в этой категории дел определены в пункте 5 Пленума Высшего Арбитражного Суда Российской Федерации от 23 декабря 2010 г. N 63 «О некоторых вопросах применения главы III.1 Федерального закона« О несостоятельности (банкротстве)» : воля должника должна быть направлена на причинение имущественного ущерба правам кредиторов; этот ущерб должен возникнуть в результате сделки; другая сторона сделки должна быть недобросовестной</w:t>
      </w:r>
      <w:r>
        <w:rPr>
          <w:rStyle w:val="a7"/>
          <w:rFonts w:ascii="Times New Roman" w:eastAsia="Calibri" w:hAnsi="Times New Roman" w:cs="Times New Roman"/>
          <w:sz w:val="24"/>
          <w:szCs w:val="24"/>
        </w:rPr>
        <w:footnoteReference w:id="398"/>
      </w:r>
      <w:r>
        <w:rPr>
          <w:rFonts w:ascii="Times New Roman" w:eastAsia="Calibri" w:hAnsi="Times New Roman" w:cs="Times New Roman"/>
          <w:sz w:val="24"/>
          <w:szCs w:val="24"/>
        </w:rPr>
        <w:t>.</w:t>
      </w:r>
    </w:p>
    <w:p w14:paraId="25CDD3D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В таком случае имущественный ущерб правам кредиторов следует понимать как уменьшение стоимости или размера активов должника или увеличение суммы активов, подлежащих получению от должника, а также другие последствия операций или юридически значимых действий должника, которые привели или могут потеря способности кредиторов получить исполнение своих обязательств должника за счет своих активов</w:t>
      </w:r>
      <w:r>
        <w:rPr>
          <w:rStyle w:val="a7"/>
          <w:rFonts w:ascii="Times New Roman" w:eastAsia="Calibri" w:hAnsi="Times New Roman" w:cs="Times New Roman"/>
          <w:sz w:val="24"/>
          <w:szCs w:val="24"/>
        </w:rPr>
        <w:footnoteReference w:id="399"/>
      </w:r>
      <w:r>
        <w:rPr>
          <w:rFonts w:ascii="Times New Roman" w:eastAsia="Calibri" w:hAnsi="Times New Roman" w:cs="Times New Roman"/>
          <w:sz w:val="24"/>
          <w:szCs w:val="24"/>
        </w:rPr>
        <w:t>. Что касается преференциальных сделок, то с точки зрения законодательства о конкуренции ошибочность преференциальных сделок заключается в том, что такая сделка подразумевает предпочтение одного из кредиторов перед другими кредиторами. С точки зрения Закона о банкротстве, эти сделки являются недействительными, поскольку они нарушают его основные принципы - последовательность и адекватность удовлетворения требований кредиторов. Бремя доказательства того, что сделка включает в себя наличие предпочтения или может привести к предпочтению, лежит на лице, которое подало заявление об оспаривании конкретной сделки. Кроме того, законодатель разделяет основания для недействительности преференциальных сделок, в зависимости от времени, которое прошло с момента заключения соответствующей спорной сделки, а также о характере сделки</w:t>
      </w:r>
      <w:r>
        <w:rPr>
          <w:rStyle w:val="a7"/>
          <w:rFonts w:ascii="Times New Roman" w:eastAsia="Calibri" w:hAnsi="Times New Roman" w:cs="Times New Roman"/>
          <w:sz w:val="24"/>
          <w:szCs w:val="24"/>
        </w:rPr>
        <w:footnoteReference w:id="400"/>
      </w:r>
      <w:r>
        <w:rPr>
          <w:rFonts w:ascii="Times New Roman" w:eastAsia="Calibri" w:hAnsi="Times New Roman" w:cs="Times New Roman"/>
          <w:sz w:val="24"/>
          <w:szCs w:val="24"/>
        </w:rPr>
        <w:t>.</w:t>
      </w:r>
    </w:p>
    <w:p w14:paraId="6445091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lastRenderedPageBreak/>
        <w:t>Если сделка завершена после того, как арбитражный суд принял ходатайство должника о несостоятельности или в течение одного месяца до того, как арбитражный суд принял ходатайство должника о несостоятельности, для признания его недействительным не требуется доказательство наличия у контрагента должника, а также наличие  цели должника вызвать имущественный ущерб правам кредиторов. Если сделка завершена не ранее, чем через шесть месяцев и не позднее, чем за месяц до того, как суд примет заявление о банкротстве должника, то для признания его недействительным требуется подтверждение нечестности контрагента в сделке и того, что он знал или должен был знать о несостоятельности или недостаточности имущества или об обстоятельствах, позволяющих сделать вывод о признаке несостоятельности или недостаточности имущества. Предоставление информации о начале процедуры банкротства должнику в арбитражном деле не означает, что об этом должны были знать все кредиторы</w:t>
      </w:r>
      <w:r>
        <w:rPr>
          <w:rStyle w:val="a7"/>
          <w:rFonts w:ascii="Times New Roman" w:eastAsia="Calibri" w:hAnsi="Times New Roman" w:cs="Times New Roman"/>
          <w:sz w:val="24"/>
          <w:szCs w:val="24"/>
        </w:rPr>
        <w:footnoteReference w:id="401"/>
      </w:r>
      <w:r>
        <w:rPr>
          <w:rFonts w:ascii="Times New Roman" w:eastAsia="Calibri" w:hAnsi="Times New Roman" w:cs="Times New Roman"/>
          <w:sz w:val="24"/>
          <w:szCs w:val="24"/>
        </w:rPr>
        <w:t>.</w:t>
      </w:r>
    </w:p>
    <w:p w14:paraId="477BA33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Видится необходимым также рассмотреть кратко перечень лиц, обладающих правом оспаривать сделки должника в процедурах несостоятельности (банкротства) юридических лиц, так как это принесет дополнительную пользу для нашего исследования. То, что касается субъектов оспаривания сделок, то в частности, временный и конкурсный управляющие в деле о несостоятельности имеют право оспаривания операций должника, однако действующее законодательство о несостоятельности (банкротстве) направлено на укрепление роли конкурсных кредиторов в оспаривании операций должника. В результате банкрот в случае осуществления процесса по производству различных процедур по делам о несостоятельности (банкротстве) в настоящее время имеет право оспаривать операции должника по причинам, изложенным в статьях 61.2 или 61.3 Закона о банкротстве, если сумма счетов, подлежащих выплате ему и включенных в реестр требований кредиторов, составляет более десяти процентов от общей суммы счетов, причитающихся в реестре требований кредиторов, в том числе требования кредитора, в отношении которых сделка оспаривается, и его аффилированных лиц. Конкурсные кредиторы, у которых нет этой минимальной суммы порогового объема требований, могут объединять свои требования при подаче заявления на оспаривание транзакции и собрать требуемые десять процентов вместе</w:t>
      </w:r>
      <w:r>
        <w:rPr>
          <w:rStyle w:val="a7"/>
          <w:rFonts w:ascii="Times New Roman" w:eastAsia="Calibri" w:hAnsi="Times New Roman" w:cs="Times New Roman"/>
          <w:sz w:val="24"/>
          <w:szCs w:val="24"/>
        </w:rPr>
        <w:footnoteReference w:id="402"/>
      </w:r>
      <w:r>
        <w:rPr>
          <w:rFonts w:ascii="Times New Roman" w:eastAsia="Calibri" w:hAnsi="Times New Roman" w:cs="Times New Roman"/>
          <w:sz w:val="24"/>
          <w:szCs w:val="24"/>
        </w:rPr>
        <w:t>.</w:t>
      </w:r>
    </w:p>
    <w:p w14:paraId="6D3103E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Подводя итог после планомерного, всестороннего и глубокого изучения поднятой в данной научной статье темы, напрашивается следующий вывод касательно выявленных проблем по исследованному разделу такого правового института как несостоятельность (банкротство). Исследовав разновидности оспариваемых сделок в качестве главных элементов, составляющих объем формируемого нами определения понятия оспариваемых сделок должника в процедурах несостоятельности (банкротства) юридических лиц и рассмотрев перечень субъектов, обладающих правом оспаривать сделки должника в процедурах несостоятельности (банкротства) юридических лиц, а также основываясь на этих составляющих содержания формируемого нами определения и на всех изученных источниках научной литературы и актуального законодательства по поднятой проблеме, можно вывести следующее определение такого явления объективной правовой действительности как понятие оспариваемых сделок должника в процедурах несостоятельности (банкротства) юридических лиц. Понятие оспариваемых сделок должника в процедурах несостоятельности (банкротства) юридических лиц – это такие сделки, заключенные должником со своими контрагентами и другими участниками гражданского оборота при явном или скрытом присутствии цели и умысла у должника по появлению в результате совершения указанных сделок отрицательных последствий для компании, что в свою очередь наносит вред имущественным интересам кредиторов упомянутого должника ввиду пропорционального уменьшения конкурсной массы, благодаря которой кредиторы могли бы удовлетворять свои требования по отношению к </w:t>
      </w:r>
      <w:r>
        <w:rPr>
          <w:rFonts w:ascii="Times New Roman" w:hAnsi="Times New Roman" w:cs="Times New Roman"/>
          <w:sz w:val="24"/>
          <w:szCs w:val="24"/>
        </w:rPr>
        <w:lastRenderedPageBreak/>
        <w:t>должнику, и которые классифицируются научной литературой и законодательством по разным основаниям как подозрительные сделки и сделки с предпочтением.</w:t>
      </w:r>
    </w:p>
    <w:p w14:paraId="0C6F214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p>
    <w:p w14:paraId="1E5CD73F"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b/>
          <w:sz w:val="24"/>
          <w:szCs w:val="24"/>
        </w:rPr>
      </w:pPr>
      <w:r>
        <w:rPr>
          <w:rFonts w:ascii="Times New Roman" w:eastAsia="Calibri" w:hAnsi="Times New Roman" w:cs="Times New Roman"/>
          <w:b/>
          <w:sz w:val="24"/>
          <w:szCs w:val="24"/>
        </w:rPr>
        <w:t>Библиографический список</w:t>
      </w:r>
    </w:p>
    <w:p w14:paraId="6ABA4AA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b/>
          <w:sz w:val="24"/>
          <w:szCs w:val="24"/>
        </w:rPr>
      </w:pPr>
    </w:p>
    <w:p w14:paraId="07CFB0EF" w14:textId="77777777" w:rsidR="001B6C3B" w:rsidRDefault="001B6C3B" w:rsidP="00E3198A">
      <w:pPr>
        <w:pStyle w:val="a4"/>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Астафуров А. Ю. Оспаривание сделок по «банкротным» основаниям / А.Ю. Астафуров // Адвокат. – 2017. – № 3. – С. 91–112.</w:t>
      </w:r>
    </w:p>
    <w:p w14:paraId="45C36B62" w14:textId="77777777" w:rsidR="001B6C3B" w:rsidRDefault="001B6C3B" w:rsidP="00E3198A">
      <w:pPr>
        <w:pStyle w:val="a4"/>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Аюрова А.А. Теоретические основания оспаривания сделок в процессе банкротства // Журнал российского права – 2017. – № 3. – С. 92–117.</w:t>
      </w:r>
    </w:p>
    <w:p w14:paraId="74FB6F08" w14:textId="77777777" w:rsidR="001B6C3B" w:rsidRDefault="001B6C3B" w:rsidP="00E3198A">
      <w:pPr>
        <w:pStyle w:val="a4"/>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Борисов А.Н. Комментарий к Федеральному закону от 26 октября 2002 г. N 127-ФЗ «О несостоятельности (банкротстве)» (постатейный). М.: Деловой двор, –  2016. —  98 с.</w:t>
      </w:r>
    </w:p>
    <w:p w14:paraId="6CDF7D57" w14:textId="77777777" w:rsidR="001B6C3B" w:rsidRDefault="001B6C3B" w:rsidP="00E3198A">
      <w:pPr>
        <w:pStyle w:val="a4"/>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Бычков А. И. Проведение расчетных операций: способы, специфика и риски.// М. : Издательство Юрайт, –  2016. —  С. 48.</w:t>
      </w:r>
    </w:p>
    <w:p w14:paraId="54D86120" w14:textId="77777777" w:rsidR="001B6C3B" w:rsidRDefault="001B6C3B" w:rsidP="00E3198A">
      <w:pPr>
        <w:pStyle w:val="a4"/>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Кузнецов С. А. Основные проблемы правового института несостоятельности (банкротства) : монография. — М. : Издательство Юрайт, –  2016. —  97 с.</w:t>
      </w:r>
    </w:p>
    <w:p w14:paraId="0C12DF78" w14:textId="77777777" w:rsidR="001B6C3B" w:rsidRDefault="001B6C3B" w:rsidP="00E3198A">
      <w:pPr>
        <w:pStyle w:val="a4"/>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Марков П.А. Признание недействительной подозрительной сделки в деле о банкротстве // Право и экономика – 2016. – № 11. – С. 94–119.</w:t>
      </w:r>
    </w:p>
    <w:p w14:paraId="4B13C613" w14:textId="77777777" w:rsidR="001B6C3B" w:rsidRDefault="001B6C3B" w:rsidP="00E3198A">
      <w:pPr>
        <w:pStyle w:val="a4"/>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Масленникова, Л.В. Правовое положение кредиторов в отдельных процедурах банкротства юридических лиц: учебное пособие / Л. В. Масленникова ; М-во сельского хоз-ва Российской Федерации, ФГБОУ "Кубанский гос. аграрный ун-т". Краснодар: КубГАУ, – 2016. – 88 с.</w:t>
      </w:r>
    </w:p>
    <w:p w14:paraId="50A2ABAE" w14:textId="77777777" w:rsidR="001B6C3B" w:rsidRDefault="001B6C3B" w:rsidP="00E3198A">
      <w:pPr>
        <w:pStyle w:val="a4"/>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Масленникова Л.В., Станишевский, А.И. К вопросу об участии уполномоченного органа в деле о банкротстве / Л.В. Масленникова, А.И. Станишевский // Проблемы экономики и юридической практики. – 2018. – № 3. – С. 168-170.</w:t>
      </w:r>
    </w:p>
    <w:p w14:paraId="0BA117D1" w14:textId="77777777" w:rsidR="001B6C3B" w:rsidRDefault="001B6C3B" w:rsidP="00E3198A">
      <w:pPr>
        <w:pStyle w:val="a4"/>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Телюкина М.В. Комментарий к Федеральному Закону "О несостоятельности (банкротстве)" : монография. — М. : Издательство Юрайт, –  2017. —  288 с.</w:t>
      </w:r>
    </w:p>
    <w:p w14:paraId="3E1B6C17" w14:textId="77777777" w:rsidR="001B6C3B" w:rsidRDefault="001B6C3B" w:rsidP="00E3198A">
      <w:pPr>
        <w:pStyle w:val="a4"/>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Шестов А.В. Неравноценные сделки несостоятельного должника // Арбитражный и гражданский процесс – 2016. – № 8. – С. 90–110</w:t>
      </w:r>
    </w:p>
    <w:p w14:paraId="3D0E8CE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sectPr w:rsidR="001B6C3B">
          <w:footnotePr>
            <w:numRestart w:val="eachPage"/>
          </w:footnotePr>
          <w:pgSz w:w="11906" w:h="16838"/>
          <w:pgMar w:top="1134" w:right="1134" w:bottom="1134" w:left="1134" w:header="709" w:footer="709" w:gutter="0"/>
          <w:cols w:space="720"/>
        </w:sectPr>
      </w:pPr>
    </w:p>
    <w:p w14:paraId="7240CFB0"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right"/>
        <w:rPr>
          <w:lang w:val="ru-RU"/>
        </w:rPr>
      </w:pPr>
      <w:r>
        <w:rPr>
          <w:lang w:val="ru-RU"/>
        </w:rPr>
        <w:lastRenderedPageBreak/>
        <w:t>УДК 348</w:t>
      </w:r>
    </w:p>
    <w:p w14:paraId="3B6C753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right"/>
        <w:rPr>
          <w:rFonts w:ascii="Times New Roman" w:hAnsi="Times New Roman" w:cs="Times New Roman"/>
          <w:b/>
          <w:sz w:val="24"/>
          <w:szCs w:val="24"/>
        </w:rPr>
      </w:pPr>
      <w:r>
        <w:rPr>
          <w:rFonts w:ascii="Times New Roman" w:hAnsi="Times New Roman" w:cs="Times New Roman"/>
          <w:b/>
          <w:sz w:val="24"/>
          <w:szCs w:val="24"/>
        </w:rPr>
        <w:t xml:space="preserve">Щимаев Расул Омарович </w:t>
      </w:r>
    </w:p>
    <w:p w14:paraId="4ADAB15A"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right"/>
        <w:rPr>
          <w:rFonts w:ascii="Times New Roman" w:hAnsi="Times New Roman" w:cs="Times New Roman"/>
          <w:b/>
          <w:sz w:val="24"/>
          <w:szCs w:val="24"/>
          <w:lang w:val="de-DE"/>
        </w:rPr>
      </w:pPr>
      <w:r>
        <w:rPr>
          <w:rFonts w:ascii="Times New Roman" w:hAnsi="Times New Roman" w:cs="Times New Roman"/>
          <w:b/>
          <w:sz w:val="24"/>
          <w:szCs w:val="24"/>
        </w:rPr>
        <w:t xml:space="preserve"> </w:t>
      </w:r>
      <w:r>
        <w:rPr>
          <w:rFonts w:ascii="Times New Roman" w:hAnsi="Times New Roman" w:cs="Times New Roman"/>
          <w:b/>
          <w:sz w:val="24"/>
          <w:szCs w:val="24"/>
          <w:lang w:val="de-DE"/>
        </w:rPr>
        <w:t>Schimaev Ras</w:t>
      </w:r>
      <w:r>
        <w:rPr>
          <w:rFonts w:ascii="Times New Roman" w:hAnsi="Times New Roman" w:cs="Times New Roman"/>
          <w:b/>
          <w:sz w:val="24"/>
          <w:szCs w:val="24"/>
        </w:rPr>
        <w:t>u</w:t>
      </w:r>
      <w:r>
        <w:rPr>
          <w:rFonts w:ascii="Times New Roman" w:hAnsi="Times New Roman" w:cs="Times New Roman"/>
          <w:b/>
          <w:sz w:val="24"/>
          <w:szCs w:val="24"/>
          <w:lang w:val="de-DE"/>
        </w:rPr>
        <w:t>l Omarovich</w:t>
      </w:r>
    </w:p>
    <w:p w14:paraId="42D29DC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right"/>
        <w:rPr>
          <w:rFonts w:ascii="Times New Roman" w:hAnsi="Times New Roman" w:cs="Times New Roman"/>
          <w:sz w:val="24"/>
          <w:szCs w:val="24"/>
        </w:rPr>
      </w:pPr>
      <w:r>
        <w:rPr>
          <w:rFonts w:ascii="Times New Roman" w:hAnsi="Times New Roman" w:cs="Times New Roman"/>
          <w:sz w:val="24"/>
          <w:szCs w:val="24"/>
        </w:rPr>
        <w:t>Федеральное государственное бюджетное образовательное учреждение</w:t>
      </w:r>
    </w:p>
    <w:p w14:paraId="24FB3A6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right"/>
        <w:rPr>
          <w:rFonts w:ascii="Times New Roman" w:hAnsi="Times New Roman" w:cs="Times New Roman"/>
          <w:sz w:val="24"/>
          <w:szCs w:val="24"/>
        </w:rPr>
      </w:pPr>
      <w:r>
        <w:rPr>
          <w:rFonts w:ascii="Times New Roman" w:hAnsi="Times New Roman" w:cs="Times New Roman"/>
          <w:sz w:val="24"/>
          <w:szCs w:val="24"/>
        </w:rPr>
        <w:t>высшего образования</w:t>
      </w:r>
    </w:p>
    <w:p w14:paraId="54FC3EDC"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right"/>
        <w:rPr>
          <w:rFonts w:ascii="Times New Roman" w:hAnsi="Times New Roman" w:cs="Times New Roman"/>
          <w:sz w:val="24"/>
          <w:szCs w:val="24"/>
        </w:rPr>
      </w:pPr>
      <w:r>
        <w:rPr>
          <w:rFonts w:ascii="Times New Roman" w:hAnsi="Times New Roman" w:cs="Times New Roman"/>
          <w:sz w:val="24"/>
          <w:szCs w:val="24"/>
        </w:rPr>
        <w:t>«Кубанский государственный аграрный университет имени И.Т. Трубилина»</w:t>
      </w:r>
    </w:p>
    <w:p w14:paraId="6C0455A9"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right"/>
        <w:rPr>
          <w:rFonts w:eastAsiaTheme="minorHAnsi"/>
          <w:lang w:eastAsia="en-US"/>
        </w:rPr>
      </w:pPr>
      <w:r>
        <w:rPr>
          <w:rFonts w:eastAsiaTheme="minorHAnsi"/>
          <w:lang w:eastAsia="en-US"/>
        </w:rPr>
        <w:t>Federal State Budgetary Educational Institution of Higher Education</w:t>
      </w:r>
    </w:p>
    <w:p w14:paraId="7D572921"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right"/>
        <w:rPr>
          <w:rFonts w:eastAsiaTheme="minorHAnsi"/>
          <w:lang w:eastAsia="en-US"/>
        </w:rPr>
      </w:pPr>
      <w:r>
        <w:rPr>
          <w:rFonts w:eastAsiaTheme="minorHAnsi"/>
          <w:lang w:eastAsia="en-US"/>
        </w:rPr>
        <w:t>“Kuban State Agrarian University named after I.T. Trubilin”</w:t>
      </w:r>
    </w:p>
    <w:p w14:paraId="13D1D732"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right"/>
        <w:rPr>
          <w:rFonts w:eastAsiaTheme="minorHAnsi"/>
          <w:lang w:val="ru-RU" w:eastAsia="en-US"/>
        </w:rPr>
      </w:pPr>
      <w:r>
        <w:rPr>
          <w:rFonts w:eastAsiaTheme="minorHAnsi"/>
          <w:lang w:val="ru-RU" w:eastAsia="en-US"/>
        </w:rPr>
        <w:t>Российская Федерация, г. Краснодар</w:t>
      </w:r>
    </w:p>
    <w:p w14:paraId="7439448B"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right"/>
        <w:rPr>
          <w:rFonts w:eastAsiaTheme="minorHAnsi"/>
          <w:lang w:val="ru-RU" w:eastAsia="en-US"/>
        </w:rPr>
      </w:pPr>
      <w:r>
        <w:rPr>
          <w:rFonts w:eastAsiaTheme="minorHAnsi"/>
          <w:lang w:eastAsia="en-US"/>
        </w:rPr>
        <w:t>Russian</w:t>
      </w:r>
      <w:r>
        <w:rPr>
          <w:rFonts w:eastAsiaTheme="minorHAnsi"/>
          <w:lang w:val="ru-RU" w:eastAsia="en-US"/>
        </w:rPr>
        <w:t xml:space="preserve"> </w:t>
      </w:r>
      <w:r>
        <w:rPr>
          <w:rFonts w:eastAsiaTheme="minorHAnsi"/>
          <w:lang w:eastAsia="en-US"/>
        </w:rPr>
        <w:t>Federation</w:t>
      </w:r>
      <w:r>
        <w:rPr>
          <w:rFonts w:eastAsiaTheme="minorHAnsi"/>
          <w:lang w:val="ru-RU" w:eastAsia="en-US"/>
        </w:rPr>
        <w:t xml:space="preserve">, </w:t>
      </w:r>
      <w:r>
        <w:rPr>
          <w:rFonts w:eastAsiaTheme="minorHAnsi"/>
          <w:lang w:eastAsia="en-US"/>
        </w:rPr>
        <w:t>Krasnodar</w:t>
      </w:r>
    </w:p>
    <w:p w14:paraId="54078F37"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567"/>
        <w:jc w:val="right"/>
        <w:rPr>
          <w:rFonts w:ascii="Times New Roman" w:hAnsi="Times New Roman" w:cs="Times New Roman"/>
          <w:sz w:val="24"/>
          <w:szCs w:val="24"/>
        </w:rPr>
      </w:pPr>
      <w:r>
        <w:rPr>
          <w:rFonts w:ascii="Times New Roman" w:hAnsi="Times New Roman" w:cs="Times New Roman"/>
          <w:sz w:val="24"/>
          <w:szCs w:val="24"/>
        </w:rPr>
        <w:t xml:space="preserve">SHI@mail.ru </w:t>
      </w:r>
    </w:p>
    <w:p w14:paraId="410E219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567"/>
        <w:jc w:val="right"/>
        <w:rPr>
          <w:rFonts w:ascii="Times New Roman" w:hAnsi="Times New Roman" w:cs="Times New Roman"/>
          <w:sz w:val="24"/>
          <w:szCs w:val="24"/>
        </w:rPr>
      </w:pPr>
      <w:r>
        <w:rPr>
          <w:rFonts w:ascii="Times New Roman" w:hAnsi="Times New Roman" w:cs="Times New Roman"/>
          <w:b/>
          <w:sz w:val="24"/>
          <w:szCs w:val="24"/>
        </w:rPr>
        <w:t xml:space="preserve">Шеховцова Анна Семеновна, </w:t>
      </w:r>
      <w:r>
        <w:rPr>
          <w:rFonts w:ascii="Times New Roman" w:hAnsi="Times New Roman" w:cs="Times New Roman"/>
          <w:sz w:val="24"/>
          <w:szCs w:val="24"/>
        </w:rPr>
        <w:t>к.ю.н.,</w:t>
      </w:r>
    </w:p>
    <w:p w14:paraId="562BC4A5"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567"/>
        <w:jc w:val="right"/>
        <w:rPr>
          <w:rFonts w:ascii="Times New Roman" w:hAnsi="Times New Roman" w:cs="Times New Roman"/>
          <w:b/>
          <w:sz w:val="24"/>
          <w:szCs w:val="24"/>
        </w:rPr>
      </w:pPr>
      <w:r>
        <w:rPr>
          <w:rFonts w:ascii="Times New Roman" w:hAnsi="Times New Roman" w:cs="Times New Roman"/>
          <w:sz w:val="24"/>
          <w:szCs w:val="24"/>
        </w:rPr>
        <w:t>доцент кафедры гражданского права</w:t>
      </w:r>
    </w:p>
    <w:p w14:paraId="6823D48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567"/>
        <w:jc w:val="right"/>
        <w:rPr>
          <w:rFonts w:ascii="Times New Roman" w:hAnsi="Times New Roman" w:cs="Times New Roman"/>
          <w:b/>
          <w:sz w:val="24"/>
          <w:szCs w:val="24"/>
        </w:rPr>
      </w:pPr>
      <w:r>
        <w:rPr>
          <w:rFonts w:ascii="Times New Roman" w:hAnsi="Times New Roman" w:cs="Times New Roman"/>
          <w:b/>
          <w:sz w:val="24"/>
          <w:szCs w:val="24"/>
        </w:rPr>
        <w:t>Shekhovtsova Anna Semenovna</w:t>
      </w:r>
    </w:p>
    <w:p w14:paraId="419CBF5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567"/>
        <w:jc w:val="both"/>
        <w:rPr>
          <w:rFonts w:ascii="Times New Roman" w:hAnsi="Times New Roman" w:cs="Times New Roman"/>
          <w:sz w:val="24"/>
          <w:szCs w:val="24"/>
        </w:rPr>
      </w:pPr>
    </w:p>
    <w:p w14:paraId="35656252"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center"/>
        <w:rPr>
          <w:b/>
          <w:shd w:val="clear" w:color="auto" w:fill="FFFFFF"/>
          <w:lang w:val="ru-RU"/>
        </w:rPr>
      </w:pPr>
    </w:p>
    <w:p w14:paraId="0D79A4FB"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hd w:val="clear" w:color="auto" w:fill="FFFFFF"/>
          <w:lang w:val="ru-RU"/>
        </w:rPr>
      </w:pPr>
      <w:r>
        <w:rPr>
          <w:b/>
          <w:shd w:val="clear" w:color="auto" w:fill="FFFFFF"/>
          <w:lang w:val="ru-RU"/>
        </w:rPr>
        <w:t>ПРАКТИКА СУДЕБНОГО УМЕНЬШЕНИЯ НЕУСТОЙКИ КАК РАЗНОВИДНОСТЬ ОГРАНИЧЕНИЯ СВОБОДЫ ДОГОВОРА</w:t>
      </w:r>
    </w:p>
    <w:p w14:paraId="0EBAE5B6"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center"/>
        <w:rPr>
          <w:b/>
          <w:shd w:val="clear" w:color="auto" w:fill="FFFFFF"/>
          <w:lang w:val="ru-RU"/>
        </w:rPr>
      </w:pPr>
    </w:p>
    <w:p w14:paraId="330B374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567"/>
        <w:jc w:val="center"/>
        <w:rPr>
          <w:rFonts w:ascii="Times New Roman" w:eastAsia="Calibri" w:hAnsi="Times New Roman" w:cs="Times New Roman"/>
          <w:b/>
          <w:sz w:val="24"/>
          <w:szCs w:val="24"/>
          <w:shd w:val="clear" w:color="auto" w:fill="FFFFFF"/>
          <w:lang w:val="en-US" w:eastAsia="ru-RU"/>
        </w:rPr>
      </w:pPr>
      <w:r>
        <w:rPr>
          <w:rFonts w:ascii="Times New Roman" w:eastAsia="Calibri" w:hAnsi="Times New Roman" w:cs="Times New Roman"/>
          <w:b/>
          <w:sz w:val="24"/>
          <w:szCs w:val="24"/>
          <w:shd w:val="clear" w:color="auto" w:fill="FFFFFF"/>
          <w:lang w:val="en-US" w:eastAsia="ru-RU"/>
        </w:rPr>
        <w:t>THE PRACTICE OF JUDICIAL REDUCTION OF PENALTIES AS A FORM OF RESTRICTION OF FREEDOM OF CONTRACT</w:t>
      </w:r>
    </w:p>
    <w:p w14:paraId="5053A50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567"/>
        <w:jc w:val="center"/>
        <w:rPr>
          <w:rFonts w:ascii="Times New Roman" w:eastAsia="Calibri" w:hAnsi="Times New Roman" w:cs="Times New Roman"/>
          <w:b/>
          <w:sz w:val="24"/>
          <w:szCs w:val="24"/>
          <w:shd w:val="clear" w:color="auto" w:fill="FFFFFF"/>
          <w:lang w:val="en-US" w:eastAsia="ru-RU"/>
        </w:rPr>
      </w:pPr>
    </w:p>
    <w:p w14:paraId="33EF1DBE" w14:textId="77777777" w:rsidR="001B6C3B" w:rsidRPr="00E91627"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cs="Times New Roman"/>
          <w:iCs/>
          <w:sz w:val="24"/>
          <w:szCs w:val="24"/>
        </w:rPr>
      </w:pPr>
      <w:r>
        <w:rPr>
          <w:rFonts w:ascii="Times New Roman" w:hAnsi="Times New Roman" w:cs="Times New Roman"/>
          <w:i/>
          <w:sz w:val="24"/>
          <w:szCs w:val="24"/>
          <w:lang w:val="en-US"/>
        </w:rPr>
        <w:tab/>
      </w:r>
      <w:r w:rsidRPr="00E91627">
        <w:rPr>
          <w:rFonts w:ascii="Times New Roman" w:hAnsi="Times New Roman" w:cs="Times New Roman"/>
          <w:sz w:val="24"/>
          <w:szCs w:val="24"/>
        </w:rPr>
        <w:t>Настоящая статья посвящена гражданско-правовому принципу свободы догвора. институту, в том числе новеллам российского гражданского законодательства в части норм, устанавливающих свободу договора и его пределы. Автор проводи анализ одного из видов ограничения принципа свободы договора, часто встречающегося на практике – уменьшения размера договорной неустойки судами. Анализ судебной практики  осуществляется через призму отечественной и зарубежной правовой доктрины свободы договора.</w:t>
      </w:r>
      <w:r w:rsidRPr="00E91627">
        <w:rPr>
          <w:rFonts w:ascii="Times New Roman" w:hAnsi="Times New Roman" w:cs="Times New Roman"/>
          <w:iCs/>
          <w:sz w:val="24"/>
          <w:szCs w:val="24"/>
        </w:rPr>
        <w:t xml:space="preserve"> Анализу подвергается обоснованность наличия такого механизма в действующем законодательстве.</w:t>
      </w:r>
    </w:p>
    <w:p w14:paraId="7754C2D5" w14:textId="77777777" w:rsidR="001B6C3B" w:rsidRPr="00E91627"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540"/>
        <w:jc w:val="both"/>
        <w:rPr>
          <w:rFonts w:ascii="Times New Roman" w:hAnsi="Times New Roman" w:cs="Times New Roman"/>
          <w:sz w:val="24"/>
          <w:szCs w:val="24"/>
        </w:rPr>
      </w:pPr>
    </w:p>
    <w:p w14:paraId="09C36A28" w14:textId="77777777" w:rsidR="001B6C3B" w:rsidRPr="00E91627" w:rsidRDefault="001B6C3B" w:rsidP="001B6C3B">
      <w:pPr>
        <w:pStyle w:val="Defaul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iCs/>
          <w:color w:val="auto"/>
          <w:lang w:val="en-US"/>
        </w:rPr>
      </w:pPr>
      <w:r w:rsidRPr="00E91627">
        <w:rPr>
          <w:color w:val="auto"/>
          <w:lang w:val="en-US"/>
        </w:rPr>
        <w:t>The</w:t>
      </w:r>
      <w:r w:rsidRPr="00E91627">
        <w:rPr>
          <w:color w:val="auto"/>
        </w:rPr>
        <w:t xml:space="preserve"> </w:t>
      </w:r>
      <w:r w:rsidRPr="00E91627">
        <w:rPr>
          <w:color w:val="auto"/>
          <w:lang w:val="en-US"/>
        </w:rPr>
        <w:t>article</w:t>
      </w:r>
      <w:r w:rsidRPr="00E91627">
        <w:rPr>
          <w:color w:val="auto"/>
        </w:rPr>
        <w:t xml:space="preserve"> </w:t>
      </w:r>
      <w:r w:rsidRPr="00E91627">
        <w:rPr>
          <w:color w:val="auto"/>
          <w:lang w:val="en-US"/>
        </w:rPr>
        <w:t>considers</w:t>
      </w:r>
      <w:r w:rsidRPr="00E91627">
        <w:rPr>
          <w:color w:val="auto"/>
        </w:rPr>
        <w:t xml:space="preserve"> </w:t>
      </w:r>
      <w:r w:rsidRPr="00E91627">
        <w:rPr>
          <w:color w:val="auto"/>
          <w:lang w:val="en-US"/>
        </w:rPr>
        <w:t>the</w:t>
      </w:r>
      <w:r w:rsidRPr="00E91627">
        <w:rPr>
          <w:color w:val="auto"/>
        </w:rPr>
        <w:t xml:space="preserve"> </w:t>
      </w:r>
      <w:r w:rsidRPr="00E91627">
        <w:rPr>
          <w:color w:val="auto"/>
          <w:lang w:val="en-US"/>
        </w:rPr>
        <w:t>civil</w:t>
      </w:r>
      <w:r w:rsidRPr="00E91627">
        <w:rPr>
          <w:color w:val="auto"/>
        </w:rPr>
        <w:t xml:space="preserve"> </w:t>
      </w:r>
      <w:r w:rsidRPr="00E91627">
        <w:rPr>
          <w:color w:val="auto"/>
          <w:lang w:val="en-US"/>
        </w:rPr>
        <w:t>law</w:t>
      </w:r>
      <w:r w:rsidRPr="00E91627">
        <w:rPr>
          <w:color w:val="auto"/>
        </w:rPr>
        <w:t xml:space="preserve"> </w:t>
      </w:r>
      <w:r w:rsidRPr="00E91627">
        <w:rPr>
          <w:color w:val="auto"/>
          <w:lang w:val="en-US"/>
        </w:rPr>
        <w:t>principle</w:t>
      </w:r>
      <w:r w:rsidRPr="00E91627">
        <w:rPr>
          <w:color w:val="auto"/>
        </w:rPr>
        <w:t xml:space="preserve"> </w:t>
      </w:r>
      <w:r w:rsidRPr="00E91627">
        <w:rPr>
          <w:color w:val="auto"/>
          <w:lang w:val="en-US"/>
        </w:rPr>
        <w:t>of</w:t>
      </w:r>
      <w:r w:rsidRPr="00E91627">
        <w:rPr>
          <w:color w:val="auto"/>
        </w:rPr>
        <w:t xml:space="preserve"> </w:t>
      </w:r>
      <w:r w:rsidRPr="00E91627">
        <w:rPr>
          <w:color w:val="auto"/>
          <w:lang w:val="en-US"/>
        </w:rPr>
        <w:t>freedom</w:t>
      </w:r>
      <w:r w:rsidRPr="00E91627">
        <w:rPr>
          <w:color w:val="auto"/>
        </w:rPr>
        <w:t xml:space="preserve"> </w:t>
      </w:r>
      <w:r w:rsidRPr="00E91627">
        <w:rPr>
          <w:color w:val="auto"/>
          <w:lang w:val="en-US"/>
        </w:rPr>
        <w:t>of</w:t>
      </w:r>
      <w:r w:rsidRPr="00E91627">
        <w:rPr>
          <w:color w:val="auto"/>
        </w:rPr>
        <w:t xml:space="preserve"> </w:t>
      </w:r>
      <w:r w:rsidRPr="00E91627">
        <w:rPr>
          <w:color w:val="auto"/>
          <w:lang w:val="en-US"/>
        </w:rPr>
        <w:t>speech</w:t>
      </w:r>
      <w:r w:rsidRPr="00E91627">
        <w:rPr>
          <w:color w:val="auto"/>
        </w:rPr>
        <w:t xml:space="preserve">. </w:t>
      </w:r>
      <w:r w:rsidRPr="00E91627">
        <w:rPr>
          <w:color w:val="auto"/>
          <w:lang w:val="en-US"/>
        </w:rPr>
        <w:t>Institute, including novelties of Russian civil law from the point of view of norms establishing freedom of contract and its limits. The author analyzes one of the types of restriction of the principle of freedom of contract, which is often found in practice – reducing the amount of contractual fines by the courts. The analysis of judicial practice is conducted through the prism of domestic and foreign legal doctrine of freedom of contract.</w:t>
      </w:r>
      <w:r w:rsidRPr="00E91627">
        <w:rPr>
          <w:iCs/>
          <w:color w:val="auto"/>
          <w:lang w:val="en-US"/>
        </w:rPr>
        <w:t xml:space="preserve"> The author analyzes the reasonability of such mechanism in the current legislation.</w:t>
      </w:r>
    </w:p>
    <w:p w14:paraId="28CC2EEA" w14:textId="77777777" w:rsidR="001B6C3B" w:rsidRPr="00E91627"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540"/>
        <w:jc w:val="both"/>
        <w:rPr>
          <w:rFonts w:ascii="Times New Roman" w:hAnsi="Times New Roman" w:cs="Times New Roman"/>
          <w:iCs/>
          <w:sz w:val="24"/>
          <w:szCs w:val="24"/>
          <w:lang w:val="en-US"/>
        </w:rPr>
      </w:pPr>
    </w:p>
    <w:p w14:paraId="3C308B31" w14:textId="77777777" w:rsidR="001B6C3B" w:rsidRPr="00E91627"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rFonts w:eastAsiaTheme="minorHAnsi"/>
          <w:iCs/>
          <w:lang w:val="ru-RU" w:eastAsia="en-US"/>
        </w:rPr>
      </w:pPr>
      <w:r w:rsidRPr="00E91627">
        <w:rPr>
          <w:lang w:val="ru-RU"/>
        </w:rPr>
        <w:t xml:space="preserve">Ключевые слова: </w:t>
      </w:r>
      <w:r w:rsidRPr="00E91627">
        <w:rPr>
          <w:rFonts w:eastAsiaTheme="minorHAnsi"/>
          <w:iCs/>
          <w:lang w:val="ru-RU" w:eastAsia="en-US"/>
        </w:rPr>
        <w:t>свобода договора, принцип права, принцип свободы договора, ограничение свободы договора, неустойка, уменьшение неустойки судом.</w:t>
      </w:r>
    </w:p>
    <w:p w14:paraId="402C81DA" w14:textId="77777777" w:rsidR="001B6C3B" w:rsidRPr="00E91627"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rFonts w:eastAsiaTheme="minorHAnsi"/>
          <w:lang w:eastAsia="en-US"/>
        </w:rPr>
      </w:pPr>
      <w:r w:rsidRPr="00E91627">
        <w:t xml:space="preserve">Key words: </w:t>
      </w:r>
      <w:r w:rsidRPr="00E91627">
        <w:rPr>
          <w:rFonts w:eastAsiaTheme="minorHAnsi"/>
          <w:lang w:eastAsia="en-US"/>
        </w:rPr>
        <w:t xml:space="preserve"> freedom of contract, principle of law, principle of freedom of contract, restriction of freedom of contract, penalty, reduction of penalty by the court.</w:t>
      </w:r>
    </w:p>
    <w:p w14:paraId="067E5D3E" w14:textId="77777777" w:rsidR="001B6C3B" w:rsidRDefault="001B6C3B" w:rsidP="001B6C3B">
      <w:pPr>
        <w:pStyle w:val="Defaul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auto"/>
          <w:lang w:val="en-US"/>
        </w:rPr>
      </w:pPr>
    </w:p>
    <w:p w14:paraId="38CBCD3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w:hAnsi="Times New Roman" w:cs="Times New Roman"/>
          <w:iCs/>
          <w:sz w:val="24"/>
          <w:szCs w:val="24"/>
          <w:lang w:val="en-US"/>
        </w:rPr>
      </w:pPr>
    </w:p>
    <w:p w14:paraId="7D8CB1EF" w14:textId="4358C492"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w:hAnsi="Times New Roman" w:cs="Times New Roman"/>
          <w:iCs/>
          <w:sz w:val="24"/>
          <w:szCs w:val="24"/>
        </w:rPr>
      </w:pPr>
      <w:r>
        <w:rPr>
          <w:rFonts w:ascii="Times New Roman" w:hAnsi="Times New Roman" w:cs="Times New Roman"/>
          <w:iCs/>
          <w:sz w:val="24"/>
          <w:szCs w:val="24"/>
        </w:rPr>
        <w:t>В современной теории гражданского права принципу свободы договора уделено значительное внимание. В настоящее время он рассматривается большинством теоретиков и практиков чуть ли не в качестве основополагающего межотраслевого принципа права, имеющего первостепенное значение для развитие всей системы гражданского права</w:t>
      </w:r>
      <w:r>
        <w:rPr>
          <w:rStyle w:val="a7"/>
          <w:rFonts w:ascii="Times New Roman" w:hAnsi="Times New Roman" w:cs="Times New Roman"/>
          <w:iCs/>
          <w:sz w:val="24"/>
          <w:szCs w:val="24"/>
        </w:rPr>
        <w:footnoteReference w:id="403"/>
      </w:r>
      <w:r>
        <w:rPr>
          <w:rFonts w:ascii="Times New Roman" w:hAnsi="Times New Roman" w:cs="Times New Roman"/>
          <w:iCs/>
          <w:sz w:val="24"/>
          <w:szCs w:val="24"/>
        </w:rPr>
        <w:t xml:space="preserve">. Отсюда признание за принципом свободы договора главенствующей роли для становления договорного права. </w:t>
      </w:r>
      <w:r w:rsidR="008A73CF">
        <w:rPr>
          <w:rFonts w:ascii="Times New Roman" w:hAnsi="Times New Roman" w:cs="Times New Roman"/>
          <w:iCs/>
          <w:sz w:val="24"/>
          <w:szCs w:val="24"/>
        </w:rPr>
        <w:t xml:space="preserve">При этом следует иметь ввиду, что говорить о полной свободе не </w:t>
      </w:r>
      <w:r w:rsidR="008A73CF">
        <w:rPr>
          <w:rFonts w:ascii="Times New Roman" w:hAnsi="Times New Roman" w:cs="Times New Roman"/>
          <w:iCs/>
          <w:sz w:val="24"/>
          <w:szCs w:val="24"/>
        </w:rPr>
        <w:lastRenderedPageBreak/>
        <w:t xml:space="preserve">представляется возможным и в отношении определенного вида договоров. В частности, </w:t>
      </w:r>
      <w:r w:rsidR="00657696">
        <w:rPr>
          <w:rFonts w:ascii="Times New Roman" w:hAnsi="Times New Roman" w:cs="Times New Roman"/>
          <w:iCs/>
          <w:sz w:val="24"/>
          <w:szCs w:val="24"/>
        </w:rPr>
        <w:t>в договоре о разделе продукции</w:t>
      </w:r>
      <w:r w:rsidR="00657696">
        <w:rPr>
          <w:rStyle w:val="a7"/>
          <w:rFonts w:ascii="Times New Roman" w:hAnsi="Times New Roman" w:cs="Times New Roman"/>
          <w:iCs/>
          <w:sz w:val="24"/>
          <w:szCs w:val="24"/>
        </w:rPr>
        <w:footnoteReference w:id="404"/>
      </w:r>
      <w:r w:rsidR="00657696">
        <w:rPr>
          <w:rFonts w:ascii="Times New Roman" w:hAnsi="Times New Roman" w:cs="Times New Roman"/>
          <w:iCs/>
          <w:sz w:val="24"/>
          <w:szCs w:val="24"/>
        </w:rPr>
        <w:t>.</w:t>
      </w:r>
    </w:p>
    <w:p w14:paraId="199320CD"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w:hAnsi="Times New Roman" w:cs="Times New Roman"/>
          <w:iCs/>
          <w:sz w:val="24"/>
          <w:szCs w:val="24"/>
        </w:rPr>
      </w:pPr>
      <w:r>
        <w:rPr>
          <w:rFonts w:ascii="Times New Roman" w:hAnsi="Times New Roman" w:cs="Times New Roman"/>
          <w:iCs/>
          <w:sz w:val="24"/>
          <w:szCs w:val="24"/>
        </w:rPr>
        <w:t xml:space="preserve">В тоже время в настоящее время все больше ученых склонны считать, что неограниченая свобода, в том числе в договорном регулировании имущественных отношений приведет к массовому нарушению прав наименнее слабых участников договорных правоотношений. Данный подход обосновывает развитие так называемой теории огранияения права на свободу договора (как правило, она рассматривается в рамках исследования более широкой проблемы концепции злоупотребления правом и свободой договора). </w:t>
      </w:r>
    </w:p>
    <w:p w14:paraId="3C5E1F6E"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w:hAnsi="Times New Roman" w:cs="Times New Roman"/>
          <w:iCs/>
          <w:sz w:val="24"/>
          <w:szCs w:val="24"/>
        </w:rPr>
      </w:pPr>
      <w:r>
        <w:rPr>
          <w:rFonts w:ascii="Times New Roman" w:hAnsi="Times New Roman" w:cs="Times New Roman"/>
          <w:iCs/>
          <w:sz w:val="24"/>
          <w:szCs w:val="24"/>
        </w:rPr>
        <w:t xml:space="preserve">Одновременно судебная практика вносит свои коррективы в указанную проблематику. В частности как следует из </w:t>
      </w:r>
      <w:hyperlink r:id="rId51" w:history="1">
        <w:r>
          <w:rPr>
            <w:rStyle w:val="a9"/>
            <w:rFonts w:ascii="Times New Roman" w:hAnsi="Times New Roman" w:cs="Times New Roman"/>
            <w:iCs/>
            <w:sz w:val="24"/>
            <w:szCs w:val="24"/>
          </w:rPr>
          <w:t>Постановления</w:t>
        </w:r>
      </w:hyperlink>
      <w:r>
        <w:rPr>
          <w:rFonts w:ascii="Times New Roman" w:hAnsi="Times New Roman" w:cs="Times New Roman"/>
          <w:iCs/>
          <w:sz w:val="24"/>
          <w:szCs w:val="24"/>
        </w:rPr>
        <w:t xml:space="preserve"> Пленума Высшего Арбитражного Суда Российской Федерации от 14 марта 2014 г. № 16 "О свободе договора и ее пределах"</w:t>
      </w:r>
      <w:r>
        <w:rPr>
          <w:rStyle w:val="a7"/>
          <w:rFonts w:ascii="Times New Roman" w:hAnsi="Times New Roman" w:cs="Times New Roman"/>
          <w:iCs/>
          <w:sz w:val="24"/>
          <w:szCs w:val="24"/>
        </w:rPr>
        <w:footnoteReference w:id="405"/>
      </w:r>
      <w:r>
        <w:rPr>
          <w:rFonts w:ascii="Times New Roman" w:hAnsi="Times New Roman" w:cs="Times New Roman"/>
          <w:iCs/>
          <w:sz w:val="24"/>
          <w:szCs w:val="24"/>
        </w:rPr>
        <w:t>, при рассмотрении споров о защите от несправедливых договорных условий суд должен оценивать спорные условия в совокупности со всеми условиями договора и с учетом всех обстоятельств дела. Так, в частности, суд определяет фактическое соотношение переговорных возможностей сторон и выясняет, было ли присоединение к предложенным условиям вынужденным, а также учитывает уровень профессионализма сторон в соответствующей сфере, конкуренцию на соответствующем рынке, наличие у присоединившейся стороны реальной возможности вести переговоры или заключить аналогичный договор с третьими лицами на иных условиях и т.д.</w:t>
      </w:r>
    </w:p>
    <w:p w14:paraId="01E89954"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Как отмечает А.Г. Карапетов, при ограничении принципа свободы договора важно, чтобы "суд четко осознавал, ради чего он отступает от краеугольного камня договорного права рыночной экономики – принципа свободы договора"</w:t>
      </w:r>
      <w:r>
        <w:rPr>
          <w:rStyle w:val="a7"/>
          <w:rFonts w:ascii="Times New Roman" w:hAnsi="Times New Roman" w:cs="Times New Roman"/>
          <w:sz w:val="24"/>
          <w:szCs w:val="24"/>
        </w:rPr>
        <w:footnoteReference w:id="406"/>
      </w:r>
      <w:r>
        <w:rPr>
          <w:rFonts w:ascii="Times New Roman" w:hAnsi="Times New Roman" w:cs="Times New Roman"/>
          <w:sz w:val="24"/>
          <w:szCs w:val="24"/>
        </w:rPr>
        <w:t>. При этом важно отметить, что суды часто необоснованно сужают договорную свободы сторон</w:t>
      </w:r>
      <w:r>
        <w:rPr>
          <w:rStyle w:val="a7"/>
          <w:rFonts w:ascii="Times New Roman" w:hAnsi="Times New Roman" w:cs="Times New Roman"/>
          <w:sz w:val="24"/>
          <w:szCs w:val="24"/>
        </w:rPr>
        <w:footnoteReference w:id="407"/>
      </w:r>
      <w:r>
        <w:rPr>
          <w:rFonts w:ascii="Times New Roman" w:hAnsi="Times New Roman" w:cs="Times New Roman"/>
          <w:sz w:val="24"/>
          <w:szCs w:val="24"/>
        </w:rPr>
        <w:t xml:space="preserve">, что на практике приводит к ограничению прав участников договорных отношений. </w:t>
      </w:r>
    </w:p>
    <w:p w14:paraId="534EE13D" w14:textId="77777777" w:rsidR="001B6C3B" w:rsidRDefault="001B6C3B" w:rsidP="001B6C3B">
      <w:pPr>
        <w:pStyle w:val="Defaul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auto"/>
        </w:rPr>
      </w:pPr>
      <w:r>
        <w:rPr>
          <w:color w:val="auto"/>
        </w:rPr>
        <w:t>Представляется интересным рассмотрение вопроса о праве суда снижать договорную неустойку. В рассматриваемом частном случае проявления ограничения судами договорной свободы можно отчетливо проследить основные тендении умаления принципа свободы договора на практике.</w:t>
      </w:r>
    </w:p>
    <w:p w14:paraId="1423C412" w14:textId="77777777" w:rsidR="001B6C3B" w:rsidRDefault="001B6C3B" w:rsidP="001B6C3B">
      <w:pPr>
        <w:pStyle w:val="Defaul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auto"/>
        </w:rPr>
      </w:pPr>
      <w:r>
        <w:rPr>
          <w:color w:val="auto"/>
        </w:rPr>
        <w:t xml:space="preserve">Рассмотрим более детально данный частный случай. Так, ГК РФ в ст. 330 предусмотрено право сторон установить неустойку, как способ обеспечения исполнения обязательств и как меру гражданско-правовой ответственности. А в п. 2 ст. 333 ГК РФ закрепелена возможность "уменьшение неустойки, определенной договором и подлежащей уплате лицом, осуществляющим предпринимательскую деятельность, допускается в исключительных </w:t>
      </w:r>
      <w:hyperlink r:id="rId52" w:history="1">
        <w:r>
          <w:rPr>
            <w:rStyle w:val="a9"/>
            <w:color w:val="auto"/>
          </w:rPr>
          <w:t>случаях</w:t>
        </w:r>
      </w:hyperlink>
      <w:r>
        <w:rPr>
          <w:color w:val="auto"/>
        </w:rPr>
        <w:t xml:space="preserve">, если будет доказано, что взыскание неустойки в предусмотренном договором размере может привести к получению кредитором необоснованной выгоды". По мнению сторонников наличия такого механизма в законодательстве является то, что снижение неустойки позволяет бороться с несправедливыми для одной из сторон договора условиями. Однако </w:t>
      </w:r>
      <w:hyperlink r:id="rId53" w:history="1">
        <w:r>
          <w:rPr>
            <w:rStyle w:val="a9"/>
            <w:color w:val="auto"/>
          </w:rPr>
          <w:t>ГК</w:t>
        </w:r>
      </w:hyperlink>
      <w:r>
        <w:rPr>
          <w:color w:val="auto"/>
        </w:rPr>
        <w:t xml:space="preserve"> РФ содержит немало положений, которые позволяют защитить сторону в случае заключения ею договора с невыгодными для нее условиями.</w:t>
      </w:r>
    </w:p>
    <w:p w14:paraId="3B25A807" w14:textId="77777777" w:rsidR="001B6C3B" w:rsidRDefault="001B6C3B" w:rsidP="001B6C3B">
      <w:pPr>
        <w:pStyle w:val="Defaul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auto"/>
        </w:rPr>
      </w:pPr>
      <w:r>
        <w:rPr>
          <w:color w:val="auto"/>
        </w:rPr>
        <w:t xml:space="preserve">В тоже время указанная статья ГК РФ на практике весьма активно применяется судами. При этом сам законодатель "умышленно" не раскрыл, что имеется в виду под основаниями, позволяющими суду снизить размер договорной неустойки. На практике сторона, заявляющая об уменьшении неуустойки должна доказать целый ряд обстоятельств, на что неоднократно указывает ВС РФ в своих разъяснениях судебной практики. </w:t>
      </w:r>
    </w:p>
    <w:p w14:paraId="2EABE4F1"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ab/>
        <w:t xml:space="preserve">Так, в </w:t>
      </w:r>
      <w:hyperlink r:id="rId54" w:history="1">
        <w:r>
          <w:rPr>
            <w:rStyle w:val="a9"/>
            <w:rFonts w:ascii="Times New Roman" w:hAnsi="Times New Roman" w:cs="Times New Roman"/>
            <w:sz w:val="24"/>
            <w:szCs w:val="24"/>
          </w:rPr>
          <w:t>пункте 77</w:t>
        </w:r>
      </w:hyperlink>
      <w:r>
        <w:rPr>
          <w:rFonts w:ascii="Times New Roman" w:hAnsi="Times New Roman" w:cs="Times New Roman"/>
          <w:sz w:val="24"/>
          <w:szCs w:val="24"/>
        </w:rPr>
        <w:t xml:space="preserve"> Постановления Пленума ВС РФ от 24 марта 2016 г. № 7 судам предписано иметь в виду, что снижение размера договорной неустойки, подлежащей уплате коммерческой организацией, индивидуальным предпринимателем, а равно некоммерческой организацией, нарушившей обязательство при осуществлении ею приносящей доход деятельности, допускается в исключительных случаях, если она явно несоразмерна последствиям нарушения обязательства и может повлечь получение кредитором необоснованной выгоды (</w:t>
      </w:r>
      <w:hyperlink r:id="rId55" w:history="1">
        <w:r>
          <w:rPr>
            <w:rStyle w:val="a9"/>
            <w:rFonts w:ascii="Times New Roman" w:hAnsi="Times New Roman" w:cs="Times New Roman"/>
            <w:sz w:val="24"/>
            <w:szCs w:val="24"/>
          </w:rPr>
          <w:t>пункты 1</w:t>
        </w:r>
      </w:hyperlink>
      <w:r>
        <w:rPr>
          <w:rFonts w:ascii="Times New Roman" w:hAnsi="Times New Roman" w:cs="Times New Roman"/>
          <w:sz w:val="24"/>
          <w:szCs w:val="24"/>
        </w:rPr>
        <w:t xml:space="preserve"> и </w:t>
      </w:r>
      <w:hyperlink r:id="rId56" w:history="1">
        <w:r>
          <w:rPr>
            <w:rStyle w:val="a9"/>
            <w:rFonts w:ascii="Times New Roman" w:hAnsi="Times New Roman" w:cs="Times New Roman"/>
            <w:sz w:val="24"/>
            <w:szCs w:val="24"/>
          </w:rPr>
          <w:t>2 статьи 333</w:t>
        </w:r>
      </w:hyperlink>
      <w:r>
        <w:rPr>
          <w:rFonts w:ascii="Times New Roman" w:hAnsi="Times New Roman" w:cs="Times New Roman"/>
          <w:sz w:val="24"/>
          <w:szCs w:val="24"/>
        </w:rPr>
        <w:t xml:space="preserve"> ГК РФ). Бремя доказывания несоразмерности неустойки и необоснованности выгоды кредитора возлагается на ответчика (пункт 73 Пленума № 7).</w:t>
      </w:r>
    </w:p>
    <w:p w14:paraId="137AC792"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ab/>
        <w:t>А в Определении ВС РФ от 10.12.2019 № 307-ЭС19-14101 прямо указано, что должнику недостаточно заявить об уменьшении неустойки, он должен доказать наличие оснований для ее снижения. Освобождая общество от бремени доказывания несоразмерности неустойки, суд первой инстанции, принимая во внимание, что степень соразмерности неустойки последствиям обязательства является оценочной категорией, уменьшил неустойку, исходя из внутреннего убеждения и обстоятельств конкретного дела, до 3 000 000 руб. Между тем, соглашаясь с позицией судов о том, что в каждом конкретном случае при уменьшении неустойки необходимо оценивать доказательства по своему внутреннему убеждению, судебная коллегия считает недопустимым уменьшение неустойки при неисполнении должником бремени доказывания несоразмерности, представления соответствующих доказательств, в отсутствие должного обоснования и наличия на то оснований. Иной подход позволяет недобросовестному должнику, нарушившему условия согласованных с контрагентом обязательств, в том числе об избранных ими мерах ответственности и способах урегулирования спора,извлекать преимущества из своего незаконного поведения.</w:t>
      </w:r>
    </w:p>
    <w:p w14:paraId="6846F398" w14:textId="77777777" w:rsidR="001B6C3B" w:rsidRDefault="001B6C3B" w:rsidP="001B6C3B">
      <w:pPr>
        <w:pStyle w:val="Defaul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eastAsia="Calibri"/>
          <w:color w:val="auto"/>
          <w:szCs w:val="28"/>
        </w:rPr>
      </w:pPr>
      <w:r>
        <w:rPr>
          <w:color w:val="auto"/>
        </w:rPr>
        <w:t>На практике суды редко следуют указанным разъяснениям. Прежде всего в виду весьма абстрактного характера данных норм и оценочности понятий "несоразмерность" и "необоснованная выгода", позволяющих в полной мере проявить всю силу судейского усмотрения на практике. Слудет, однако, ради справедливости отметить, что в отношении снижения договорной неустойки суды реже применяют нормы ст. 333 ГК РФ, но в</w:t>
      </w:r>
      <w:r>
        <w:rPr>
          <w:rFonts w:eastAsia="Calibri"/>
          <w:color w:val="auto"/>
          <w:sz w:val="28"/>
          <w:szCs w:val="28"/>
        </w:rPr>
        <w:t xml:space="preserve"> </w:t>
      </w:r>
      <w:r>
        <w:rPr>
          <w:rFonts w:eastAsia="Calibri"/>
          <w:color w:val="auto"/>
          <w:szCs w:val="28"/>
        </w:rPr>
        <w:t>каждом конкретном случае суд оценивает возможность снижения неустойки с учетом обстоятельств дела и взаимоотношений сторон.</w:t>
      </w:r>
      <w:r>
        <w:rPr>
          <w:sz w:val="14"/>
          <w:szCs w:val="16"/>
          <w:shd w:val="clear" w:color="auto" w:fill="FFFFFF"/>
        </w:rPr>
        <w:t xml:space="preserve"> </w:t>
      </w:r>
      <w:r>
        <w:rPr>
          <w:rFonts w:eastAsia="Calibri"/>
          <w:color w:val="auto"/>
          <w:szCs w:val="28"/>
        </w:rPr>
        <w:t>В силу п. 42 Постановления Пленума ВС РФ и ВАС РФ от 01.07.1996 № 6/8 при оценке таких последствий судом могут приниматься во внимание, в том числе, обстоятельства, не имеющие прямого отношения к последствиям нарушения обязательства (цена товаров, услуг, сумма договора и т.п.)</w:t>
      </w:r>
      <w:r>
        <w:rPr>
          <w:rStyle w:val="a7"/>
          <w:rFonts w:eastAsia="Calibri"/>
          <w:color w:val="auto"/>
          <w:szCs w:val="28"/>
        </w:rPr>
        <w:footnoteReference w:id="408"/>
      </w:r>
      <w:r>
        <w:rPr>
          <w:rFonts w:eastAsia="Calibri"/>
          <w:color w:val="auto"/>
          <w:szCs w:val="28"/>
        </w:rPr>
        <w:t>.</w:t>
      </w:r>
      <w:r>
        <w:rPr>
          <w:sz w:val="14"/>
          <w:szCs w:val="16"/>
          <w:shd w:val="clear" w:color="auto" w:fill="FFFFFF"/>
        </w:rPr>
        <w:t xml:space="preserve"> </w:t>
      </w:r>
      <w:r>
        <w:rPr>
          <w:rFonts w:eastAsia="Calibri"/>
          <w:color w:val="auto"/>
          <w:szCs w:val="28"/>
        </w:rPr>
        <w:t>В соответствии с п. 73 Постановления Пленума ВС РФ от 24.03.2016 № 7 несоразмерность и необоснованность выгоды могут выражаться, в частности, в том, что возможный размер убытков кредитора, которые могли возникнуть вследствие нарушения обязательства, значительно ниже начисленной неустойки.</w:t>
      </w:r>
      <w:r>
        <w:rPr>
          <w:rStyle w:val="a7"/>
          <w:rFonts w:eastAsia="Calibri"/>
          <w:color w:val="auto"/>
          <w:szCs w:val="28"/>
        </w:rPr>
        <w:footnoteReference w:id="409"/>
      </w:r>
      <w:r>
        <w:rPr>
          <w:rFonts w:eastAsia="Calibri"/>
          <w:color w:val="auto"/>
          <w:szCs w:val="28"/>
        </w:rPr>
        <w:t xml:space="preserve"> </w:t>
      </w:r>
    </w:p>
    <w:p w14:paraId="04FBF9F8" w14:textId="77777777" w:rsidR="001B6C3B" w:rsidRDefault="001B6C3B" w:rsidP="001B6C3B">
      <w:pPr>
        <w:pStyle w:val="Defaul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auto"/>
          <w:sz w:val="28"/>
          <w:szCs w:val="28"/>
        </w:rPr>
      </w:pPr>
      <w:r>
        <w:rPr>
          <w:color w:val="auto"/>
        </w:rPr>
        <w:t>Явная несоразмерность неустойки должна быть очевидной. Уменьшение неустойки судом в рамках своих полномочий не должно допускаться, так как это вступает в противоречие с принципом осуществления гражданских прав своей волей и в своем интересе (статья 1 ГК РФ), а также с принципом состязательности (статья 9 Арбитражного процессуального кодекса Российской Федерации).</w:t>
      </w:r>
    </w:p>
    <w:p w14:paraId="51B15A36" w14:textId="77777777" w:rsidR="001B6C3B" w:rsidRDefault="001B6C3B" w:rsidP="001B6C3B">
      <w:pPr>
        <w:shd w:val="clear" w:color="auto" w:fill="FFFFFF"/>
        <w:tabs>
          <w:tab w:val="left" w:pos="567"/>
        </w:tabs>
        <w:spacing w:after="0" w:line="240" w:lineRule="auto"/>
        <w:ind w:firstLine="567"/>
        <w:jc w:val="both"/>
        <w:textAlignment w:val="top"/>
        <w:rPr>
          <w:rFonts w:ascii="Times New Roman" w:hAnsi="Times New Roman" w:cs="Times New Roman"/>
          <w:sz w:val="24"/>
          <w:szCs w:val="24"/>
          <w:lang w:eastAsia="ru-RU"/>
        </w:rPr>
      </w:pPr>
      <w:r>
        <w:rPr>
          <w:rFonts w:ascii="Times New Roman" w:hAnsi="Times New Roman" w:cs="Times New Roman"/>
          <w:sz w:val="24"/>
          <w:szCs w:val="24"/>
        </w:rPr>
        <w:tab/>
        <w:t xml:space="preserve">При рассмотрении вопроса о необходимости снижения неустойки по заявлению ответчика на основании </w:t>
      </w:r>
      <w:hyperlink r:id="rId57" w:history="1">
        <w:r>
          <w:rPr>
            <w:rStyle w:val="a9"/>
            <w:rFonts w:ascii="Times New Roman" w:hAnsi="Times New Roman" w:cs="Times New Roman"/>
            <w:sz w:val="24"/>
            <w:szCs w:val="24"/>
          </w:rPr>
          <w:t>статьи 333</w:t>
        </w:r>
      </w:hyperlink>
      <w:r>
        <w:rPr>
          <w:rFonts w:ascii="Times New Roman" w:hAnsi="Times New Roman" w:cs="Times New Roman"/>
          <w:sz w:val="24"/>
          <w:szCs w:val="24"/>
        </w:rPr>
        <w:t xml:space="preserve"> ГК РФ судам следует исходить из того, что неисполнение или ненадлежащее исполнение должником денежного обязательства позволяет ему неправомерно пользоваться чужими денежными средствами. Поскольку никто не вправе </w:t>
      </w:r>
      <w:r>
        <w:rPr>
          <w:rFonts w:ascii="Times New Roman" w:hAnsi="Times New Roman" w:cs="Times New Roman"/>
          <w:sz w:val="24"/>
          <w:szCs w:val="24"/>
        </w:rPr>
        <w:lastRenderedPageBreak/>
        <w:t>извлекать преимущества из своего незаконного поведения, условия такого пользования не могут быть более выгодными для должника, чем условия пользования денежными средствами, получаемыми участниками оборота правомерно (например, по кредитным договорам). (Постановление 15 ААС 03.11.2018  по делу А32-27039/2018 судья Галов В.В.). Снижение размера неустойки ниже 0,1% нарушит баланс интересов сторон, поставив ответчика как недобросовестную сторону в более выгодное положение по сравнению с истцом (Постановление АС СКО от 30.07.2018 по делу А63- 19040/2017).В настоящее время применительно к снижению договорной неустойки сформировалась судебная практика, согласно которой размер неустойки (0,1% от цены договора на момент просрочки) соответствует обычно применяемому в договорных отношениях</w:t>
      </w:r>
      <w:r>
        <w:rPr>
          <w:rFonts w:ascii="Times New Roman" w:hAnsi="Times New Roman" w:cs="Times New Roman"/>
          <w:sz w:val="24"/>
          <w:szCs w:val="24"/>
        </w:rPr>
        <w:footnoteReference w:id="410"/>
      </w:r>
      <w:r>
        <w:rPr>
          <w:rFonts w:ascii="Times New Roman" w:hAnsi="Times New Roman" w:cs="Times New Roman"/>
          <w:sz w:val="24"/>
          <w:szCs w:val="24"/>
        </w:rPr>
        <w:t>. Арбитражные суды также отмечают, что неустойка в размере 0,1% от суммы долга за каждый день просрочки платежа, являясь обычной практикой, не может нарушать баланс интересов сторон при заключении и исполнении договора</w:t>
      </w:r>
      <w:r>
        <w:rPr>
          <w:rFonts w:ascii="Times New Roman" w:hAnsi="Times New Roman" w:cs="Times New Roman"/>
          <w:sz w:val="24"/>
          <w:szCs w:val="24"/>
          <w:vertAlign w:val="superscript"/>
        </w:rPr>
        <w:footnoteReference w:id="411"/>
      </w:r>
      <w:r>
        <w:rPr>
          <w:rFonts w:ascii="Times New Roman" w:hAnsi="Times New Roman" w:cs="Times New Roman"/>
          <w:sz w:val="24"/>
          <w:szCs w:val="24"/>
        </w:rPr>
        <w:t>.</w:t>
      </w:r>
      <w:r>
        <w:rPr>
          <w:rFonts w:ascii="Times New Roman" w:eastAsia="Calibri" w:hAnsi="Times New Roman" w:cs="Times New Roman"/>
          <w:sz w:val="28"/>
          <w:szCs w:val="28"/>
        </w:rPr>
        <w:t xml:space="preserve"> </w:t>
      </w:r>
      <w:r>
        <w:rPr>
          <w:rFonts w:ascii="Times New Roman" w:hAnsi="Times New Roman" w:cs="Times New Roman"/>
          <w:sz w:val="24"/>
          <w:szCs w:val="24"/>
          <w:lang w:eastAsia="ru-RU"/>
        </w:rPr>
        <w:t>Необоснованное снижение неустойки позволяет должнику получить доступ к финансированию за счет другого лица на нерыночных условиях, что в целом может стимулировать недобросовестных должников к неплатежам и вызывать крайне негативные макроэкономические последствия. Между тем, никто не вправе извлекать преимущества из своего незаконного поведения (Постановление 15 ААС 08.12.2018  по делу А32-4799/2018 судья Мисник Н.Н.).</w:t>
      </w:r>
    </w:p>
    <w:p w14:paraId="1BDEAF86" w14:textId="77777777" w:rsidR="001B6C3B" w:rsidRDefault="001B6C3B" w:rsidP="001B6C3B">
      <w:pPr>
        <w:shd w:val="clear" w:color="auto" w:fill="FFFFFF"/>
        <w:tabs>
          <w:tab w:val="left" w:pos="567"/>
        </w:tabs>
        <w:spacing w:after="0" w:line="240" w:lineRule="auto"/>
        <w:ind w:firstLine="567"/>
        <w:jc w:val="both"/>
        <w:textAlignment w:val="top"/>
        <w:rPr>
          <w:rFonts w:ascii="Times New Roman" w:hAnsi="Times New Roman" w:cs="Times New Roman"/>
          <w:b/>
          <w:sz w:val="24"/>
          <w:szCs w:val="24"/>
        </w:rPr>
      </w:pPr>
      <w:r>
        <w:rPr>
          <w:rFonts w:ascii="Times New Roman" w:hAnsi="Times New Roman" w:cs="Times New Roman"/>
          <w:sz w:val="24"/>
          <w:szCs w:val="24"/>
        </w:rPr>
        <w:tab/>
        <w:t xml:space="preserve">Данная позиция отражена в Постановлении Президиума Высшего Арбитражного Суда Российской Федерации от 13 января 2011 года № 11680/10. Пунктом 2 Постановления Пленума Высшего Арбитражного Суда Российской Федерации от 22 декабря 2011 года № 81 «О некоторых вопросах применения статьи 333 Гражданского кодекса Российской Федерации» разъяснено, что при рассмотрении вопроса о необходимости снижения неустойки по заявлению ответчика на основании статьи 333 Гражданского кодекса Российской Федерации судам следует исходить из того, что неисполнение или ненадлежащее исполнение должником денежного обязательства позволяет ему неправомерно пользоваться чужими денежными средствами. Поскольку никто не вправе извлекать преимущества из своего незаконного поведения, условия такого пользования не могут быть более выгодными для должника, чем условия пользования денежными средствами, получаемыми участниками оборота правомерно (например, по кредитным договорам). Разрешая вопрос о соразмерности неустойки последствиям нарушения денежного обязательства и с этой целью определяя величину, достаточную для компенсации потерь кредитора, суды могут исходить из двукратной учетной ставки (ставок) Банка России, существовавшей в период такого нарушения. Вместе с тем для обоснования иной величины неустойки, соразмерной последствиям нарушения обязательства, каждая из сторон вправе представить доказательства того, что средний размер платы по краткосрочным кредитам на пополнение оборотных средств, выдаваемым кредитными организациями субъектам предпринимательской деятельности в месте нахождения должника в период нарушения обязательства, выше или ниже двукратной учетной ставки Банка России, существовавшей в тот же период. </w:t>
      </w:r>
    </w:p>
    <w:p w14:paraId="49005C5B" w14:textId="77777777" w:rsidR="001B6C3B" w:rsidRDefault="001B6C3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lang w:val="ru-RU"/>
        </w:rPr>
      </w:pPr>
      <w:r>
        <w:rPr>
          <w:lang w:val="ru-RU"/>
        </w:rPr>
        <w:tab/>
        <w:t xml:space="preserve">Снижение неустойки ниже однократной учетной ставки Банка России на основании соответствующего заявления ответчика допускается лишь </w:t>
      </w:r>
      <w:r>
        <w:rPr>
          <w:b/>
          <w:lang w:val="ru-RU"/>
        </w:rPr>
        <w:t>в экстраординарных случаях</w:t>
      </w:r>
      <w:r>
        <w:rPr>
          <w:lang w:val="ru-RU"/>
        </w:rPr>
        <w:t>, когда убытки кредитора компенсируются за счет того, что размер платы за пользование денежными средствами, предусмотренный условиями обязательства (заем, кредит, коммерческий кредит), значительно превышает обычно взимаемые в подобных обстоятельствах проценты.</w:t>
      </w:r>
    </w:p>
    <w:p w14:paraId="2DE3DD23"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cs="Times New Roman"/>
          <w:sz w:val="24"/>
          <w:szCs w:val="24"/>
        </w:rPr>
      </w:pPr>
      <w:r>
        <w:rPr>
          <w:rFonts w:ascii="Times New Roman" w:eastAsia="Calibri" w:hAnsi="Times New Roman" w:cs="Times New Roman"/>
          <w:sz w:val="24"/>
          <w:szCs w:val="24"/>
          <w:lang w:eastAsia="ru-RU"/>
        </w:rPr>
        <w:lastRenderedPageBreak/>
        <w:tab/>
        <w:t xml:space="preserve">В целом при решении вопроса об уменьшении договорной неустойки необходимо исходить из того, что такая неустойка устанавливается по взаимному соглашению сторон в соответствии с их волей. По нашему мнению, нормы ГК РФ о договорной неустойке не содержат каких-либо ограничений для определения сторонами обязательства размера обеспечивающей его неустойки. Таким образом, учитывая принцип гражданского законодательства о свободе договора, соразмерность последствий неисполнения обязательства предполагается, поскольку стороны устанавливают размер ответственности и иные условия договора по своему усмотрению. </w:t>
      </w:r>
    </w:p>
    <w:p w14:paraId="19A74589"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ab/>
        <w:t>Таким образом, механизмов для защиты прав должника в действующем гражданском законодательстве содержится достаточно и наличие еще одного такого механизма приводит к неоправданному ограничению принципа автономии воли сторон и свободы договора.</w:t>
      </w:r>
    </w:p>
    <w:p w14:paraId="412346A0" w14:textId="77777777" w:rsidR="001B6C3B" w:rsidRDefault="001B6C3B" w:rsidP="001B6C3B">
      <w:pPr>
        <w:pStyle w:val="Defaul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auto"/>
        </w:rPr>
      </w:pPr>
    </w:p>
    <w:p w14:paraId="01594843" w14:textId="77777777" w:rsidR="001B6C3B" w:rsidRDefault="001B6C3B" w:rsidP="001B6C3B">
      <w:pPr>
        <w:pStyle w:val="Defaul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auto"/>
        </w:rPr>
      </w:pPr>
    </w:p>
    <w:p w14:paraId="5935E78A" w14:textId="77777777" w:rsidR="001B6C3B" w:rsidRDefault="001B6C3B" w:rsidP="001B6C3B">
      <w:pPr>
        <w:pStyle w:val="Defaul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color w:val="auto"/>
        </w:rPr>
      </w:pPr>
      <w:r>
        <w:rPr>
          <w:color w:val="auto"/>
        </w:rPr>
        <w:t>БИБЛИОГРАФИЧЕСКИЙ СПИСОК</w:t>
      </w:r>
    </w:p>
    <w:p w14:paraId="040071A1" w14:textId="77777777" w:rsidR="001B6C3B" w:rsidRDefault="001B6C3B" w:rsidP="001B6C3B">
      <w:pPr>
        <w:pStyle w:val="Defaul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auto"/>
          <w:lang w:val="en-US"/>
        </w:rPr>
      </w:pPr>
    </w:p>
    <w:p w14:paraId="2013D9EC" w14:textId="77777777" w:rsidR="001B6C3B" w:rsidRDefault="001B6C3B" w:rsidP="00E3198A">
      <w:pPr>
        <w:pStyle w:val="a5"/>
        <w:numPr>
          <w:ilvl w:val="0"/>
          <w:numId w:val="5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14" w:hanging="357"/>
        <w:rPr>
          <w:rFonts w:ascii="Times New Roman" w:hAnsi="Times New Roman" w:cs="Times New Roman"/>
          <w:sz w:val="24"/>
          <w:szCs w:val="28"/>
        </w:rPr>
      </w:pPr>
      <w:r w:rsidRPr="00E91627">
        <w:rPr>
          <w:rFonts w:ascii="Times New Roman" w:hAnsi="Times New Roman" w:cs="Times New Roman"/>
          <w:i/>
          <w:iCs/>
          <w:sz w:val="24"/>
          <w:szCs w:val="28"/>
        </w:rPr>
        <w:t>Долинская В. В.</w:t>
      </w:r>
      <w:r>
        <w:rPr>
          <w:rFonts w:ascii="Times New Roman" w:hAnsi="Times New Roman" w:cs="Times New Roman"/>
          <w:iCs/>
          <w:sz w:val="24"/>
          <w:szCs w:val="28"/>
        </w:rPr>
        <w:t xml:space="preserve"> Договоры в предпринимательской деятельности. – М.,  2005. – С. 78.</w:t>
      </w:r>
    </w:p>
    <w:p w14:paraId="349C018F" w14:textId="77777777" w:rsidR="001B6C3B" w:rsidRDefault="001B6C3B" w:rsidP="00E3198A">
      <w:pPr>
        <w:pStyle w:val="a5"/>
        <w:numPr>
          <w:ilvl w:val="0"/>
          <w:numId w:val="5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14" w:hanging="357"/>
        <w:jc w:val="both"/>
        <w:rPr>
          <w:rFonts w:ascii="Times New Roman" w:hAnsi="Times New Roman" w:cs="Times New Roman"/>
          <w:sz w:val="24"/>
          <w:szCs w:val="28"/>
        </w:rPr>
      </w:pPr>
      <w:r w:rsidRPr="00E91627">
        <w:rPr>
          <w:rFonts w:ascii="Times New Roman" w:hAnsi="Times New Roman" w:cs="Times New Roman"/>
          <w:i/>
          <w:sz w:val="24"/>
          <w:szCs w:val="28"/>
        </w:rPr>
        <w:t>Карапетов А. Г.</w:t>
      </w:r>
      <w:r>
        <w:rPr>
          <w:rFonts w:ascii="Times New Roman" w:hAnsi="Times New Roman" w:cs="Times New Roman"/>
          <w:sz w:val="24"/>
          <w:szCs w:val="28"/>
        </w:rPr>
        <w:t xml:space="preserve"> Свобода договора и пределы императивности норм гражданского права // Вестник ВАС РФ. – 2009. – № 11. – С. 124.</w:t>
      </w:r>
    </w:p>
    <w:p w14:paraId="29E045D6" w14:textId="77777777" w:rsidR="00657696" w:rsidRPr="00657696" w:rsidRDefault="001B6C3B" w:rsidP="00DE0826">
      <w:pPr>
        <w:pStyle w:val="a4"/>
        <w:widowControl w:val="0"/>
        <w:numPr>
          <w:ilvl w:val="0"/>
          <w:numId w:val="5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714" w:hanging="357"/>
        <w:jc w:val="both"/>
        <w:rPr>
          <w:rFonts w:ascii="Times New Roman" w:hAnsi="Times New Roman" w:cs="Times New Roman"/>
          <w:sz w:val="24"/>
          <w:szCs w:val="24"/>
        </w:rPr>
      </w:pPr>
      <w:r w:rsidRPr="00E91627">
        <w:rPr>
          <w:rFonts w:ascii="Times New Roman" w:hAnsi="Times New Roman" w:cs="Times New Roman"/>
          <w:i/>
          <w:sz w:val="24"/>
          <w:szCs w:val="28"/>
        </w:rPr>
        <w:t>Карапетов А. Г., Савельев А. И.</w:t>
      </w:r>
      <w:r w:rsidRPr="00657696">
        <w:rPr>
          <w:rFonts w:ascii="Times New Roman" w:hAnsi="Times New Roman" w:cs="Times New Roman"/>
          <w:sz w:val="24"/>
          <w:szCs w:val="28"/>
        </w:rPr>
        <w:t xml:space="preserve"> Свобода договора и ее пределы : в 2 т. – Т. 1. – М. : Статут</w:t>
      </w:r>
      <w:r w:rsidRPr="00657696">
        <w:rPr>
          <w:rFonts w:ascii="Times New Roman" w:hAnsi="Times New Roman" w:cs="Times New Roman"/>
          <w:sz w:val="24"/>
          <w:szCs w:val="24"/>
        </w:rPr>
        <w:t>, 2012. – С. 102.</w:t>
      </w:r>
    </w:p>
    <w:p w14:paraId="4CF881EC" w14:textId="18D20241" w:rsidR="00657696" w:rsidRPr="00657696" w:rsidRDefault="00657696" w:rsidP="00DE0826">
      <w:pPr>
        <w:pStyle w:val="a4"/>
        <w:widowControl w:val="0"/>
        <w:numPr>
          <w:ilvl w:val="0"/>
          <w:numId w:val="5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714" w:hanging="357"/>
        <w:jc w:val="both"/>
        <w:rPr>
          <w:rFonts w:ascii="Times New Roman" w:hAnsi="Times New Roman" w:cs="Times New Roman"/>
          <w:sz w:val="24"/>
          <w:szCs w:val="24"/>
        </w:rPr>
        <w:sectPr w:rsidR="00657696" w:rsidRPr="00657696">
          <w:footnotePr>
            <w:numRestart w:val="eachPage"/>
          </w:footnotePr>
          <w:pgSz w:w="11906" w:h="16838"/>
          <w:pgMar w:top="1134" w:right="1134" w:bottom="1134" w:left="1134" w:header="709" w:footer="709" w:gutter="0"/>
          <w:cols w:space="720"/>
        </w:sectPr>
      </w:pPr>
      <w:r w:rsidRPr="00E91627">
        <w:rPr>
          <w:rFonts w:ascii="Times New Roman" w:hAnsi="Times New Roman" w:cs="Times New Roman"/>
          <w:i/>
          <w:sz w:val="24"/>
          <w:szCs w:val="24"/>
        </w:rPr>
        <w:t>Поленов Р.В.</w:t>
      </w:r>
      <w:r w:rsidRPr="00657696">
        <w:rPr>
          <w:rFonts w:ascii="Times New Roman" w:hAnsi="Times New Roman" w:cs="Times New Roman"/>
          <w:sz w:val="24"/>
          <w:szCs w:val="24"/>
        </w:rPr>
        <w:t xml:space="preserve"> Порядок заключения соглашения о разделе продукции // Власть Закона. - 2019. - № 1. - С. 240-247.</w:t>
      </w:r>
    </w:p>
    <w:p w14:paraId="36189A46" w14:textId="77777777" w:rsidR="00F00346" w:rsidRPr="00C446B3" w:rsidRDefault="00F00346" w:rsidP="00F00346">
      <w:pPr>
        <w:spacing w:after="0" w:line="240" w:lineRule="auto"/>
        <w:ind w:left="4962"/>
        <w:jc w:val="both"/>
        <w:rPr>
          <w:rFonts w:ascii="Times New Roman" w:hAnsi="Times New Roman" w:cs="Times New Roman"/>
          <w:b/>
          <w:sz w:val="24"/>
          <w:szCs w:val="24"/>
        </w:rPr>
      </w:pPr>
      <w:r>
        <w:rPr>
          <w:rFonts w:ascii="Times New Roman" w:hAnsi="Times New Roman" w:cs="Times New Roman"/>
          <w:b/>
          <w:sz w:val="24"/>
          <w:szCs w:val="24"/>
        </w:rPr>
        <w:lastRenderedPageBreak/>
        <w:t>УДК 34</w:t>
      </w:r>
      <w:r w:rsidRPr="00C446B3">
        <w:rPr>
          <w:rFonts w:ascii="Times New Roman" w:hAnsi="Times New Roman" w:cs="Times New Roman"/>
          <w:b/>
          <w:sz w:val="24"/>
          <w:szCs w:val="24"/>
        </w:rPr>
        <w:t>9</w:t>
      </w:r>
      <w:r>
        <w:rPr>
          <w:rFonts w:ascii="Times New Roman" w:hAnsi="Times New Roman" w:cs="Times New Roman"/>
          <w:b/>
          <w:sz w:val="24"/>
          <w:szCs w:val="24"/>
        </w:rPr>
        <w:t>7.</w:t>
      </w:r>
      <w:r w:rsidRPr="00C446B3">
        <w:rPr>
          <w:rFonts w:ascii="Times New Roman" w:hAnsi="Times New Roman" w:cs="Times New Roman"/>
          <w:b/>
          <w:sz w:val="24"/>
          <w:szCs w:val="24"/>
        </w:rPr>
        <w:t>22</w:t>
      </w:r>
    </w:p>
    <w:p w14:paraId="68E34E49" w14:textId="77777777" w:rsidR="00F00346" w:rsidRDefault="00F00346" w:rsidP="00F00346">
      <w:pPr>
        <w:spacing w:after="0" w:line="240" w:lineRule="auto"/>
        <w:ind w:left="4962"/>
        <w:jc w:val="both"/>
        <w:rPr>
          <w:rFonts w:ascii="Times New Roman" w:hAnsi="Times New Roman" w:cs="Times New Roman"/>
          <w:b/>
          <w:sz w:val="24"/>
          <w:szCs w:val="24"/>
        </w:rPr>
      </w:pPr>
    </w:p>
    <w:p w14:paraId="733F4512" w14:textId="77777777" w:rsidR="00F00346" w:rsidRDefault="00F00346" w:rsidP="00F00346">
      <w:pPr>
        <w:spacing w:after="0" w:line="240" w:lineRule="auto"/>
        <w:ind w:left="4962"/>
        <w:jc w:val="both"/>
        <w:rPr>
          <w:rFonts w:ascii="Times New Roman" w:hAnsi="Times New Roman" w:cs="Times New Roman"/>
          <w:b/>
          <w:sz w:val="24"/>
          <w:szCs w:val="24"/>
        </w:rPr>
      </w:pPr>
      <w:r>
        <w:rPr>
          <w:rFonts w:ascii="Times New Roman" w:hAnsi="Times New Roman" w:cs="Times New Roman"/>
          <w:b/>
          <w:sz w:val="24"/>
          <w:szCs w:val="24"/>
        </w:rPr>
        <w:t>Юсим Юлия Михайловна</w:t>
      </w:r>
    </w:p>
    <w:p w14:paraId="5D49BBB9" w14:textId="77777777" w:rsidR="00F00346" w:rsidRDefault="00F00346" w:rsidP="00F003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62" w:right="-1"/>
        <w:jc w:val="both"/>
        <w:rPr>
          <w:rFonts w:ascii="Times New Roman" w:hAnsi="Times New Roman" w:cs="Times New Roman"/>
          <w:b/>
          <w:sz w:val="24"/>
          <w:szCs w:val="24"/>
        </w:rPr>
      </w:pPr>
      <w:r w:rsidRPr="00FA7587">
        <w:rPr>
          <w:rFonts w:ascii="Times New Roman" w:hAnsi="Times New Roman" w:cs="Times New Roman"/>
          <w:b/>
          <w:sz w:val="24"/>
          <w:szCs w:val="24"/>
        </w:rPr>
        <w:t>Yusim Julia Mikhailovna</w:t>
      </w:r>
    </w:p>
    <w:p w14:paraId="70B38F88" w14:textId="77777777" w:rsidR="00F00346" w:rsidRDefault="00F00346" w:rsidP="00F003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62" w:right="-1"/>
        <w:jc w:val="both"/>
        <w:rPr>
          <w:rFonts w:ascii="Times New Roman" w:hAnsi="Times New Roman" w:cs="Times New Roman"/>
          <w:sz w:val="24"/>
          <w:szCs w:val="24"/>
        </w:rPr>
      </w:pPr>
      <w:r>
        <w:rPr>
          <w:rFonts w:ascii="Times New Roman" w:hAnsi="Times New Roman" w:cs="Times New Roman"/>
          <w:sz w:val="24"/>
          <w:szCs w:val="24"/>
        </w:rPr>
        <w:t xml:space="preserve">магистрант  Федеральное государственное бюджетное образовательное учреждение высшего образования «Кубанский государственный аграрный университет </w:t>
      </w:r>
    </w:p>
    <w:p w14:paraId="339640C1" w14:textId="77777777" w:rsidR="00F00346" w:rsidRPr="0087143B" w:rsidRDefault="00F00346" w:rsidP="00F003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62" w:right="-1"/>
        <w:jc w:val="both"/>
        <w:rPr>
          <w:rFonts w:ascii="Times New Roman" w:hAnsi="Times New Roman" w:cs="Times New Roman"/>
          <w:sz w:val="24"/>
          <w:szCs w:val="24"/>
          <w:lang w:val="en-US"/>
        </w:rPr>
      </w:pPr>
      <w:r>
        <w:rPr>
          <w:rFonts w:ascii="Times New Roman" w:hAnsi="Times New Roman" w:cs="Times New Roman"/>
          <w:sz w:val="24"/>
          <w:szCs w:val="24"/>
        </w:rPr>
        <w:t>имени</w:t>
      </w:r>
      <w:r w:rsidRPr="0087143B">
        <w:rPr>
          <w:rFonts w:ascii="Times New Roman" w:hAnsi="Times New Roman" w:cs="Times New Roman"/>
          <w:sz w:val="24"/>
          <w:szCs w:val="24"/>
          <w:lang w:val="en-US"/>
        </w:rPr>
        <w:t xml:space="preserve"> </w:t>
      </w:r>
      <w:r>
        <w:rPr>
          <w:rFonts w:ascii="Times New Roman" w:hAnsi="Times New Roman" w:cs="Times New Roman"/>
          <w:sz w:val="24"/>
          <w:szCs w:val="24"/>
        </w:rPr>
        <w:t>И</w:t>
      </w:r>
      <w:r w:rsidRPr="0087143B">
        <w:rPr>
          <w:rFonts w:ascii="Times New Roman" w:hAnsi="Times New Roman" w:cs="Times New Roman"/>
          <w:sz w:val="24"/>
          <w:szCs w:val="24"/>
          <w:lang w:val="en-US"/>
        </w:rPr>
        <w:t>.</w:t>
      </w:r>
      <w:r>
        <w:rPr>
          <w:rFonts w:ascii="Times New Roman" w:hAnsi="Times New Roman" w:cs="Times New Roman"/>
          <w:sz w:val="24"/>
          <w:szCs w:val="24"/>
        </w:rPr>
        <w:t>Т</w:t>
      </w:r>
      <w:r w:rsidRPr="0087143B">
        <w:rPr>
          <w:rFonts w:ascii="Times New Roman" w:hAnsi="Times New Roman" w:cs="Times New Roman"/>
          <w:sz w:val="24"/>
          <w:szCs w:val="24"/>
          <w:lang w:val="en-US"/>
        </w:rPr>
        <w:t xml:space="preserve">. </w:t>
      </w:r>
      <w:r>
        <w:rPr>
          <w:rFonts w:ascii="Times New Roman" w:hAnsi="Times New Roman" w:cs="Times New Roman"/>
          <w:sz w:val="24"/>
          <w:szCs w:val="24"/>
        </w:rPr>
        <w:t>Трубилина</w:t>
      </w:r>
      <w:r w:rsidRPr="0087143B">
        <w:rPr>
          <w:rFonts w:ascii="Times New Roman" w:hAnsi="Times New Roman" w:cs="Times New Roman"/>
          <w:sz w:val="24"/>
          <w:szCs w:val="24"/>
          <w:lang w:val="en-US"/>
        </w:rPr>
        <w:t>»</w:t>
      </w:r>
    </w:p>
    <w:p w14:paraId="263EF8C4" w14:textId="77777777" w:rsidR="00F00346" w:rsidRPr="00FA7587" w:rsidRDefault="00F00346" w:rsidP="00F003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62" w:right="-1"/>
        <w:jc w:val="both"/>
        <w:rPr>
          <w:rFonts w:ascii="Times New Roman" w:hAnsi="Times New Roman" w:cs="Times New Roman"/>
          <w:sz w:val="24"/>
          <w:szCs w:val="24"/>
          <w:lang w:val="en-US"/>
        </w:rPr>
      </w:pPr>
      <w:r>
        <w:rPr>
          <w:rFonts w:ascii="Times New Roman" w:hAnsi="Times New Roman" w:cs="Times New Roman"/>
          <w:sz w:val="24"/>
          <w:szCs w:val="24"/>
          <w:lang w:val="en-US"/>
        </w:rPr>
        <w:t>Federal State Budgetary Educational Institution of Higher Education</w:t>
      </w:r>
      <w:r w:rsidRPr="00B80662">
        <w:rPr>
          <w:rFonts w:ascii="Times New Roman" w:hAnsi="Times New Roman" w:cs="Times New Roman"/>
          <w:sz w:val="24"/>
          <w:szCs w:val="24"/>
          <w:lang w:val="en-US"/>
        </w:rPr>
        <w:t xml:space="preserve"> </w:t>
      </w:r>
      <w:r>
        <w:rPr>
          <w:rFonts w:ascii="Times New Roman" w:hAnsi="Times New Roman" w:cs="Times New Roman"/>
          <w:sz w:val="24"/>
          <w:szCs w:val="24"/>
          <w:lang w:val="en-US"/>
        </w:rPr>
        <w:t>“Kuban State Agrarian University named after I.T. Trubilin</w:t>
      </w:r>
      <w:r w:rsidRPr="00B67C45">
        <w:rPr>
          <w:rFonts w:ascii="Times New Roman" w:hAnsi="Times New Roman" w:cs="Times New Roman"/>
          <w:sz w:val="24"/>
          <w:szCs w:val="24"/>
          <w:lang w:val="en-US"/>
        </w:rPr>
        <w:t>”</w:t>
      </w:r>
      <w:r w:rsidRPr="000F210E">
        <w:rPr>
          <w:rFonts w:ascii="Times New Roman" w:hAnsi="Times New Roman" w:cs="Times New Roman"/>
          <w:sz w:val="24"/>
          <w:szCs w:val="24"/>
          <w:lang w:val="en-US"/>
        </w:rPr>
        <w:t xml:space="preserve">, </w:t>
      </w:r>
      <w:r>
        <w:rPr>
          <w:rFonts w:ascii="Times New Roman" w:hAnsi="Times New Roman" w:cs="Times New Roman"/>
          <w:sz w:val="24"/>
          <w:szCs w:val="24"/>
        </w:rPr>
        <w:t>Российская</w:t>
      </w:r>
      <w:r w:rsidRPr="000F210E">
        <w:rPr>
          <w:rFonts w:ascii="Times New Roman" w:hAnsi="Times New Roman" w:cs="Times New Roman"/>
          <w:sz w:val="24"/>
          <w:szCs w:val="24"/>
          <w:lang w:val="en-US"/>
        </w:rPr>
        <w:t xml:space="preserve"> </w:t>
      </w:r>
      <w:r>
        <w:rPr>
          <w:rFonts w:ascii="Times New Roman" w:hAnsi="Times New Roman" w:cs="Times New Roman"/>
          <w:sz w:val="24"/>
          <w:szCs w:val="24"/>
        </w:rPr>
        <w:t>Федерация</w:t>
      </w:r>
      <w:r w:rsidRPr="000F210E">
        <w:rPr>
          <w:rFonts w:ascii="Times New Roman" w:hAnsi="Times New Roman" w:cs="Times New Roman"/>
          <w:sz w:val="24"/>
          <w:szCs w:val="24"/>
          <w:lang w:val="en-US"/>
        </w:rPr>
        <w:t xml:space="preserve">, </w:t>
      </w:r>
      <w:r>
        <w:rPr>
          <w:rFonts w:ascii="Times New Roman" w:hAnsi="Times New Roman" w:cs="Times New Roman"/>
          <w:sz w:val="24"/>
          <w:szCs w:val="24"/>
        </w:rPr>
        <w:t>г</w:t>
      </w:r>
      <w:r w:rsidRPr="000F210E">
        <w:rPr>
          <w:rFonts w:ascii="Times New Roman" w:hAnsi="Times New Roman" w:cs="Times New Roman"/>
          <w:sz w:val="24"/>
          <w:szCs w:val="24"/>
          <w:lang w:val="en-US"/>
        </w:rPr>
        <w:t xml:space="preserve">. </w:t>
      </w:r>
      <w:r w:rsidRPr="00FA7587">
        <w:rPr>
          <w:rFonts w:ascii="Times New Roman" w:hAnsi="Times New Roman" w:cs="Times New Roman"/>
          <w:sz w:val="24"/>
          <w:szCs w:val="24"/>
        </w:rPr>
        <w:t>Краснодар</w:t>
      </w:r>
      <w:r w:rsidRPr="00FA7587">
        <w:rPr>
          <w:rFonts w:ascii="Times New Roman" w:hAnsi="Times New Roman" w:cs="Times New Roman"/>
          <w:sz w:val="24"/>
          <w:szCs w:val="24"/>
          <w:lang w:val="en-US"/>
        </w:rPr>
        <w:t>, Russian Federation, Krasnodar</w:t>
      </w:r>
    </w:p>
    <w:p w14:paraId="58DA4A13" w14:textId="77777777" w:rsidR="00F00346" w:rsidRPr="0087143B" w:rsidRDefault="00EE7838" w:rsidP="00F00346">
      <w:pPr>
        <w:spacing w:after="0" w:line="240" w:lineRule="auto"/>
        <w:ind w:left="4962"/>
        <w:jc w:val="both"/>
        <w:rPr>
          <w:rFonts w:ascii="Times New Roman" w:hAnsi="Times New Roman" w:cs="Times New Roman"/>
          <w:sz w:val="24"/>
          <w:szCs w:val="24"/>
          <w:shd w:val="clear" w:color="auto" w:fill="FFFFFF"/>
        </w:rPr>
      </w:pPr>
      <w:hyperlink r:id="rId58" w:history="1">
        <w:r w:rsidR="00F00346" w:rsidRPr="0087143B">
          <w:rPr>
            <w:rStyle w:val="a9"/>
            <w:rFonts w:ascii="Times New Roman" w:hAnsi="Times New Roman" w:cs="Times New Roman"/>
            <w:sz w:val="24"/>
            <w:szCs w:val="24"/>
            <w:shd w:val="clear" w:color="auto" w:fill="FFFFFF"/>
          </w:rPr>
          <w:t>230405@</w:t>
        </w:r>
        <w:r w:rsidR="00F00346" w:rsidRPr="00FA7587">
          <w:rPr>
            <w:rStyle w:val="a9"/>
            <w:rFonts w:ascii="Times New Roman" w:hAnsi="Times New Roman" w:cs="Times New Roman"/>
            <w:sz w:val="24"/>
            <w:szCs w:val="24"/>
            <w:shd w:val="clear" w:color="auto" w:fill="FFFFFF"/>
            <w:lang w:val="en-US"/>
          </w:rPr>
          <w:t>mail</w:t>
        </w:r>
        <w:r w:rsidR="00F00346" w:rsidRPr="0087143B">
          <w:rPr>
            <w:rStyle w:val="a9"/>
            <w:rFonts w:ascii="Times New Roman" w:hAnsi="Times New Roman" w:cs="Times New Roman"/>
            <w:sz w:val="24"/>
            <w:szCs w:val="24"/>
            <w:shd w:val="clear" w:color="auto" w:fill="FFFFFF"/>
          </w:rPr>
          <w:t>.</w:t>
        </w:r>
        <w:r w:rsidR="00F00346" w:rsidRPr="00FA7587">
          <w:rPr>
            <w:rStyle w:val="a9"/>
            <w:rFonts w:ascii="Times New Roman" w:hAnsi="Times New Roman" w:cs="Times New Roman"/>
            <w:sz w:val="24"/>
            <w:szCs w:val="24"/>
            <w:shd w:val="clear" w:color="auto" w:fill="FFFFFF"/>
            <w:lang w:val="en-US"/>
          </w:rPr>
          <w:t>ru</w:t>
        </w:r>
      </w:hyperlink>
    </w:p>
    <w:p w14:paraId="495890B2" w14:textId="77777777" w:rsidR="00F00346" w:rsidRPr="0087143B" w:rsidRDefault="00F00346" w:rsidP="00F00346">
      <w:pPr>
        <w:spacing w:after="0" w:line="240" w:lineRule="auto"/>
        <w:ind w:left="4962"/>
        <w:jc w:val="both"/>
        <w:rPr>
          <w:rFonts w:ascii="Times New Roman" w:hAnsi="Times New Roman" w:cs="Times New Roman"/>
          <w:b/>
          <w:sz w:val="24"/>
          <w:szCs w:val="24"/>
        </w:rPr>
      </w:pPr>
      <w:r w:rsidRPr="00FA7587">
        <w:rPr>
          <w:rFonts w:ascii="Times New Roman" w:hAnsi="Times New Roman" w:cs="Times New Roman"/>
          <w:b/>
          <w:sz w:val="24"/>
          <w:szCs w:val="24"/>
        </w:rPr>
        <w:t>Сапфирова</w:t>
      </w:r>
      <w:r w:rsidRPr="0087143B">
        <w:rPr>
          <w:rFonts w:ascii="Times New Roman" w:hAnsi="Times New Roman" w:cs="Times New Roman"/>
          <w:b/>
          <w:sz w:val="24"/>
          <w:szCs w:val="24"/>
        </w:rPr>
        <w:t xml:space="preserve"> </w:t>
      </w:r>
      <w:r w:rsidRPr="00FA7587">
        <w:rPr>
          <w:rFonts w:ascii="Times New Roman" w:hAnsi="Times New Roman" w:cs="Times New Roman"/>
          <w:b/>
          <w:sz w:val="24"/>
          <w:szCs w:val="24"/>
        </w:rPr>
        <w:t>Аполлинария</w:t>
      </w:r>
      <w:r w:rsidRPr="0087143B">
        <w:rPr>
          <w:rFonts w:ascii="Times New Roman" w:hAnsi="Times New Roman" w:cs="Times New Roman"/>
          <w:b/>
          <w:sz w:val="24"/>
          <w:szCs w:val="24"/>
        </w:rPr>
        <w:t xml:space="preserve"> </w:t>
      </w:r>
      <w:r w:rsidRPr="00B80662">
        <w:rPr>
          <w:rFonts w:ascii="Times New Roman" w:hAnsi="Times New Roman" w:cs="Times New Roman"/>
          <w:b/>
          <w:sz w:val="24"/>
          <w:szCs w:val="24"/>
        </w:rPr>
        <w:t>Александровна</w:t>
      </w:r>
      <w:r w:rsidRPr="0087143B">
        <w:rPr>
          <w:rFonts w:ascii="Times New Roman" w:hAnsi="Times New Roman" w:cs="Times New Roman"/>
          <w:b/>
          <w:sz w:val="24"/>
          <w:szCs w:val="24"/>
        </w:rPr>
        <w:t xml:space="preserve">, </w:t>
      </w:r>
      <w:r w:rsidRPr="00B80662">
        <w:rPr>
          <w:rFonts w:ascii="Times New Roman" w:hAnsi="Times New Roman" w:cs="Times New Roman"/>
          <w:b/>
          <w:sz w:val="24"/>
          <w:szCs w:val="24"/>
        </w:rPr>
        <w:t>д</w:t>
      </w:r>
      <w:r w:rsidRPr="0087143B">
        <w:rPr>
          <w:rFonts w:ascii="Times New Roman" w:hAnsi="Times New Roman" w:cs="Times New Roman"/>
          <w:b/>
          <w:sz w:val="24"/>
          <w:szCs w:val="24"/>
        </w:rPr>
        <w:t>.</w:t>
      </w:r>
      <w:r w:rsidRPr="00B80662">
        <w:rPr>
          <w:rFonts w:ascii="Times New Roman" w:hAnsi="Times New Roman" w:cs="Times New Roman"/>
          <w:b/>
          <w:sz w:val="24"/>
          <w:szCs w:val="24"/>
        </w:rPr>
        <w:t>ю</w:t>
      </w:r>
      <w:r w:rsidRPr="0087143B">
        <w:rPr>
          <w:rFonts w:ascii="Times New Roman" w:hAnsi="Times New Roman" w:cs="Times New Roman"/>
          <w:b/>
          <w:sz w:val="24"/>
          <w:szCs w:val="24"/>
        </w:rPr>
        <w:t>.</w:t>
      </w:r>
      <w:r w:rsidRPr="00B80662">
        <w:rPr>
          <w:rFonts w:ascii="Times New Roman" w:hAnsi="Times New Roman" w:cs="Times New Roman"/>
          <w:b/>
          <w:sz w:val="24"/>
          <w:szCs w:val="24"/>
        </w:rPr>
        <w:t>н</w:t>
      </w:r>
      <w:r w:rsidRPr="0087143B">
        <w:rPr>
          <w:rFonts w:ascii="Times New Roman" w:hAnsi="Times New Roman" w:cs="Times New Roman"/>
          <w:b/>
          <w:sz w:val="24"/>
          <w:szCs w:val="24"/>
        </w:rPr>
        <w:t xml:space="preserve">., </w:t>
      </w:r>
      <w:r w:rsidRPr="00B80662">
        <w:rPr>
          <w:rFonts w:ascii="Times New Roman" w:hAnsi="Times New Roman" w:cs="Times New Roman"/>
          <w:b/>
          <w:sz w:val="24"/>
          <w:szCs w:val="24"/>
        </w:rPr>
        <w:t>профессор</w:t>
      </w:r>
    </w:p>
    <w:p w14:paraId="65B3D5AD" w14:textId="77777777" w:rsidR="00F00346" w:rsidRPr="000F210E" w:rsidRDefault="00F00346" w:rsidP="00F00346">
      <w:pPr>
        <w:pStyle w:val="a8"/>
        <w:ind w:left="4962"/>
        <w:jc w:val="both"/>
        <w:rPr>
          <w:rFonts w:ascii="Times New Roman" w:hAnsi="Times New Roman" w:cs="Times New Roman"/>
          <w:sz w:val="24"/>
          <w:szCs w:val="24"/>
          <w:lang w:val="en-US"/>
        </w:rPr>
      </w:pPr>
      <w:r w:rsidRPr="000F210E">
        <w:rPr>
          <w:rFonts w:ascii="Times New Roman" w:hAnsi="Times New Roman" w:cs="Times New Roman"/>
          <w:sz w:val="24"/>
          <w:szCs w:val="24"/>
          <w:lang w:val="en-US"/>
        </w:rPr>
        <w:t>Sapfirova Apollinari</w:t>
      </w:r>
      <w:r>
        <w:rPr>
          <w:rFonts w:ascii="Times New Roman" w:hAnsi="Times New Roman" w:cs="Times New Roman"/>
          <w:sz w:val="24"/>
          <w:szCs w:val="24"/>
          <w:lang w:val="en-US"/>
        </w:rPr>
        <w:t>ya</w:t>
      </w:r>
      <w:r w:rsidRPr="000F210E">
        <w:rPr>
          <w:rFonts w:ascii="Times New Roman" w:hAnsi="Times New Roman" w:cs="Times New Roman"/>
          <w:sz w:val="24"/>
          <w:szCs w:val="24"/>
          <w:lang w:val="en-US"/>
        </w:rPr>
        <w:t xml:space="preserve"> Alexandrovna,</w:t>
      </w:r>
    </w:p>
    <w:p w14:paraId="3F1945F5" w14:textId="77777777" w:rsidR="00F00346" w:rsidRPr="000F210E" w:rsidRDefault="00F00346" w:rsidP="00F00346">
      <w:pPr>
        <w:pStyle w:val="a8"/>
        <w:ind w:left="4962"/>
        <w:jc w:val="both"/>
        <w:rPr>
          <w:rFonts w:ascii="Times New Roman" w:hAnsi="Times New Roman" w:cs="Times New Roman"/>
          <w:sz w:val="24"/>
          <w:szCs w:val="24"/>
          <w:lang w:val="en-US"/>
        </w:rPr>
      </w:pPr>
      <w:r w:rsidRPr="000F210E">
        <w:rPr>
          <w:rFonts w:ascii="Times New Roman" w:hAnsi="Times New Roman" w:cs="Times New Roman"/>
          <w:sz w:val="24"/>
          <w:szCs w:val="24"/>
          <w:lang w:val="en-US"/>
        </w:rPr>
        <w:t xml:space="preserve">Doctor of Law, Professor </w:t>
      </w:r>
    </w:p>
    <w:p w14:paraId="479DA85D" w14:textId="77777777" w:rsidR="00F00346" w:rsidRPr="000F210E" w:rsidRDefault="00F00346" w:rsidP="00F00346">
      <w:pPr>
        <w:pStyle w:val="a8"/>
        <w:ind w:left="4962"/>
        <w:jc w:val="both"/>
        <w:rPr>
          <w:rFonts w:ascii="Times New Roman" w:hAnsi="Times New Roman" w:cs="Times New Roman"/>
          <w:sz w:val="24"/>
          <w:szCs w:val="24"/>
        </w:rPr>
      </w:pPr>
      <w:r w:rsidRPr="000F210E">
        <w:rPr>
          <w:rFonts w:ascii="Times New Roman" w:hAnsi="Times New Roman" w:cs="Times New Roman"/>
          <w:sz w:val="24"/>
          <w:szCs w:val="24"/>
        </w:rPr>
        <w:t xml:space="preserve">Федеральное государственное бюджетное образовательное учреждение высшего образования «Кубанский государственный аграрный университет </w:t>
      </w:r>
    </w:p>
    <w:p w14:paraId="0650C1E5" w14:textId="77777777" w:rsidR="00F00346" w:rsidRPr="0087143B" w:rsidRDefault="00F00346" w:rsidP="00F003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62" w:right="-1"/>
        <w:jc w:val="both"/>
        <w:rPr>
          <w:rFonts w:ascii="Times New Roman" w:hAnsi="Times New Roman" w:cs="Times New Roman"/>
          <w:sz w:val="24"/>
          <w:szCs w:val="24"/>
          <w:lang w:val="en-US"/>
        </w:rPr>
      </w:pPr>
      <w:r w:rsidRPr="000F210E">
        <w:rPr>
          <w:rFonts w:ascii="Times New Roman" w:hAnsi="Times New Roman" w:cs="Times New Roman"/>
          <w:sz w:val="24"/>
          <w:szCs w:val="24"/>
        </w:rPr>
        <w:t>имени</w:t>
      </w:r>
      <w:r w:rsidRPr="0087143B">
        <w:rPr>
          <w:rFonts w:ascii="Times New Roman" w:hAnsi="Times New Roman" w:cs="Times New Roman"/>
          <w:sz w:val="24"/>
          <w:szCs w:val="24"/>
          <w:lang w:val="en-US"/>
        </w:rPr>
        <w:t xml:space="preserve"> </w:t>
      </w:r>
      <w:r w:rsidRPr="000F210E">
        <w:rPr>
          <w:rFonts w:ascii="Times New Roman" w:hAnsi="Times New Roman" w:cs="Times New Roman"/>
          <w:sz w:val="24"/>
          <w:szCs w:val="24"/>
        </w:rPr>
        <w:t>И</w:t>
      </w:r>
      <w:r w:rsidRPr="0087143B">
        <w:rPr>
          <w:rFonts w:ascii="Times New Roman" w:hAnsi="Times New Roman" w:cs="Times New Roman"/>
          <w:sz w:val="24"/>
          <w:szCs w:val="24"/>
          <w:lang w:val="en-US"/>
        </w:rPr>
        <w:t>.</w:t>
      </w:r>
      <w:r w:rsidRPr="000F210E">
        <w:rPr>
          <w:rFonts w:ascii="Times New Roman" w:hAnsi="Times New Roman" w:cs="Times New Roman"/>
          <w:sz w:val="24"/>
          <w:szCs w:val="24"/>
        </w:rPr>
        <w:t>Т</w:t>
      </w:r>
      <w:r w:rsidRPr="0087143B">
        <w:rPr>
          <w:rFonts w:ascii="Times New Roman" w:hAnsi="Times New Roman" w:cs="Times New Roman"/>
          <w:sz w:val="24"/>
          <w:szCs w:val="24"/>
          <w:lang w:val="en-US"/>
        </w:rPr>
        <w:t xml:space="preserve">. </w:t>
      </w:r>
      <w:r w:rsidRPr="000F210E">
        <w:rPr>
          <w:rFonts w:ascii="Times New Roman" w:hAnsi="Times New Roman" w:cs="Times New Roman"/>
          <w:sz w:val="24"/>
          <w:szCs w:val="24"/>
        </w:rPr>
        <w:t>Трубилина</w:t>
      </w:r>
      <w:r w:rsidRPr="0087143B">
        <w:rPr>
          <w:rFonts w:ascii="Times New Roman" w:hAnsi="Times New Roman" w:cs="Times New Roman"/>
          <w:sz w:val="24"/>
          <w:szCs w:val="24"/>
          <w:lang w:val="en-US"/>
        </w:rPr>
        <w:t>»</w:t>
      </w:r>
    </w:p>
    <w:p w14:paraId="632B13F4" w14:textId="77777777" w:rsidR="00F00346" w:rsidRPr="00B80662" w:rsidRDefault="00F00346" w:rsidP="00F003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62" w:right="-1"/>
        <w:jc w:val="both"/>
        <w:rPr>
          <w:rFonts w:ascii="Times New Roman" w:hAnsi="Times New Roman" w:cs="Times New Roman"/>
          <w:sz w:val="24"/>
          <w:szCs w:val="24"/>
          <w:lang w:val="en-US"/>
        </w:rPr>
      </w:pPr>
      <w:r w:rsidRPr="000F210E">
        <w:rPr>
          <w:rFonts w:ascii="Times New Roman" w:hAnsi="Times New Roman" w:cs="Times New Roman"/>
          <w:sz w:val="24"/>
          <w:szCs w:val="24"/>
          <w:lang w:val="en-US"/>
        </w:rPr>
        <w:t>Federal State Budgetary Educational Institution of Higher Education “Kuban State</w:t>
      </w:r>
      <w:r>
        <w:rPr>
          <w:rFonts w:ascii="Times New Roman" w:hAnsi="Times New Roman" w:cs="Times New Roman"/>
          <w:sz w:val="24"/>
          <w:szCs w:val="24"/>
          <w:lang w:val="en-US"/>
        </w:rPr>
        <w:t xml:space="preserve"> Agrarian University named after I</w:t>
      </w:r>
      <w:r w:rsidRPr="00B80662">
        <w:rPr>
          <w:rFonts w:ascii="Times New Roman" w:hAnsi="Times New Roman" w:cs="Times New Roman"/>
          <w:sz w:val="24"/>
          <w:szCs w:val="24"/>
          <w:lang w:val="en-US"/>
        </w:rPr>
        <w:t>.</w:t>
      </w:r>
      <w:r>
        <w:rPr>
          <w:rFonts w:ascii="Times New Roman" w:hAnsi="Times New Roman" w:cs="Times New Roman"/>
          <w:sz w:val="24"/>
          <w:szCs w:val="24"/>
          <w:lang w:val="en-US"/>
        </w:rPr>
        <w:t>T</w:t>
      </w:r>
      <w:r w:rsidRPr="00B80662">
        <w:rPr>
          <w:rFonts w:ascii="Times New Roman" w:hAnsi="Times New Roman" w:cs="Times New Roman"/>
          <w:sz w:val="24"/>
          <w:szCs w:val="24"/>
          <w:lang w:val="en-US"/>
        </w:rPr>
        <w:t xml:space="preserve">. </w:t>
      </w:r>
      <w:r>
        <w:rPr>
          <w:rFonts w:ascii="Times New Roman" w:hAnsi="Times New Roman" w:cs="Times New Roman"/>
          <w:sz w:val="24"/>
          <w:szCs w:val="24"/>
          <w:lang w:val="en-US"/>
        </w:rPr>
        <w:t>Trubilin</w:t>
      </w:r>
      <w:r w:rsidRPr="00B80662">
        <w:rPr>
          <w:rFonts w:ascii="Times New Roman" w:hAnsi="Times New Roman" w:cs="Times New Roman"/>
          <w:sz w:val="24"/>
          <w:szCs w:val="24"/>
          <w:lang w:val="en-US"/>
        </w:rPr>
        <w:t>”</w:t>
      </w:r>
      <w:r w:rsidRPr="000F210E">
        <w:rPr>
          <w:rFonts w:ascii="Times New Roman" w:hAnsi="Times New Roman" w:cs="Times New Roman"/>
          <w:sz w:val="24"/>
          <w:szCs w:val="24"/>
          <w:lang w:val="en-US"/>
        </w:rPr>
        <w:t xml:space="preserve">, </w:t>
      </w:r>
      <w:r>
        <w:rPr>
          <w:rFonts w:ascii="Times New Roman" w:hAnsi="Times New Roman" w:cs="Times New Roman"/>
          <w:sz w:val="24"/>
          <w:szCs w:val="24"/>
        </w:rPr>
        <w:t>Российская</w:t>
      </w:r>
      <w:r w:rsidRPr="000F210E">
        <w:rPr>
          <w:rFonts w:ascii="Times New Roman" w:hAnsi="Times New Roman" w:cs="Times New Roman"/>
          <w:sz w:val="24"/>
          <w:szCs w:val="24"/>
          <w:lang w:val="en-US"/>
        </w:rPr>
        <w:t xml:space="preserve"> </w:t>
      </w:r>
      <w:r>
        <w:rPr>
          <w:rFonts w:ascii="Times New Roman" w:hAnsi="Times New Roman" w:cs="Times New Roman"/>
          <w:sz w:val="24"/>
          <w:szCs w:val="24"/>
        </w:rPr>
        <w:t>Федерация</w:t>
      </w:r>
      <w:r w:rsidRPr="000F210E">
        <w:rPr>
          <w:rFonts w:ascii="Times New Roman" w:hAnsi="Times New Roman" w:cs="Times New Roman"/>
          <w:sz w:val="24"/>
          <w:szCs w:val="24"/>
          <w:lang w:val="en-US"/>
        </w:rPr>
        <w:t xml:space="preserve">, </w:t>
      </w:r>
      <w:r>
        <w:rPr>
          <w:rFonts w:ascii="Times New Roman" w:hAnsi="Times New Roman" w:cs="Times New Roman"/>
          <w:sz w:val="24"/>
          <w:szCs w:val="24"/>
        </w:rPr>
        <w:t>г</w:t>
      </w:r>
      <w:r w:rsidRPr="000F210E">
        <w:rPr>
          <w:rFonts w:ascii="Times New Roman" w:hAnsi="Times New Roman" w:cs="Times New Roman"/>
          <w:sz w:val="24"/>
          <w:szCs w:val="24"/>
          <w:lang w:val="en-US"/>
        </w:rPr>
        <w:t xml:space="preserve">. </w:t>
      </w:r>
      <w:r>
        <w:rPr>
          <w:rFonts w:ascii="Times New Roman" w:hAnsi="Times New Roman" w:cs="Times New Roman"/>
          <w:sz w:val="24"/>
          <w:szCs w:val="24"/>
        </w:rPr>
        <w:t>Краснодар</w:t>
      </w:r>
      <w:r w:rsidRPr="000F210E">
        <w:rPr>
          <w:rFonts w:ascii="Times New Roman" w:hAnsi="Times New Roman" w:cs="Times New Roman"/>
          <w:sz w:val="24"/>
          <w:szCs w:val="24"/>
          <w:lang w:val="en-US"/>
        </w:rPr>
        <w:t xml:space="preserve">, </w:t>
      </w:r>
      <w:r>
        <w:rPr>
          <w:rFonts w:ascii="Times New Roman" w:hAnsi="Times New Roman" w:cs="Times New Roman"/>
          <w:sz w:val="24"/>
          <w:szCs w:val="24"/>
          <w:lang w:val="en-US"/>
        </w:rPr>
        <w:t>Russian</w:t>
      </w:r>
      <w:r w:rsidRPr="00B80662">
        <w:rPr>
          <w:rFonts w:ascii="Times New Roman" w:hAnsi="Times New Roman" w:cs="Times New Roman"/>
          <w:sz w:val="24"/>
          <w:szCs w:val="24"/>
          <w:lang w:val="en-US"/>
        </w:rPr>
        <w:t xml:space="preserve"> </w:t>
      </w:r>
      <w:r>
        <w:rPr>
          <w:rFonts w:ascii="Times New Roman" w:hAnsi="Times New Roman" w:cs="Times New Roman"/>
          <w:sz w:val="24"/>
          <w:szCs w:val="24"/>
          <w:lang w:val="en-US"/>
        </w:rPr>
        <w:t>Federation</w:t>
      </w:r>
      <w:r w:rsidRPr="00B80662">
        <w:rPr>
          <w:rFonts w:ascii="Times New Roman" w:hAnsi="Times New Roman" w:cs="Times New Roman"/>
          <w:sz w:val="24"/>
          <w:szCs w:val="24"/>
          <w:lang w:val="en-US"/>
        </w:rPr>
        <w:t xml:space="preserve">, </w:t>
      </w:r>
      <w:r>
        <w:rPr>
          <w:rFonts w:ascii="Times New Roman" w:hAnsi="Times New Roman" w:cs="Times New Roman"/>
          <w:sz w:val="24"/>
          <w:szCs w:val="24"/>
          <w:lang w:val="en-US"/>
        </w:rPr>
        <w:t>Krasnodar</w:t>
      </w:r>
    </w:p>
    <w:p w14:paraId="06A96677" w14:textId="77777777" w:rsidR="00F00346" w:rsidRPr="007B469A" w:rsidRDefault="00EE7838" w:rsidP="00F00346">
      <w:pPr>
        <w:spacing w:after="0" w:line="240" w:lineRule="auto"/>
        <w:ind w:left="4962"/>
        <w:jc w:val="both"/>
        <w:rPr>
          <w:rFonts w:ascii="Times New Roman" w:hAnsi="Times New Roman" w:cs="Times New Roman"/>
          <w:sz w:val="24"/>
          <w:szCs w:val="24"/>
        </w:rPr>
      </w:pPr>
      <w:hyperlink r:id="rId59" w:history="1">
        <w:r w:rsidR="00F00346" w:rsidRPr="000F210E">
          <w:rPr>
            <w:rStyle w:val="a9"/>
            <w:rFonts w:ascii="Times New Roman" w:hAnsi="Times New Roman" w:cs="Times New Roman"/>
            <w:sz w:val="24"/>
            <w:szCs w:val="24"/>
            <w:lang w:val="en-US"/>
          </w:rPr>
          <w:t>pol</w:t>
        </w:r>
        <w:r w:rsidR="00F00346" w:rsidRPr="000F210E">
          <w:rPr>
            <w:rStyle w:val="a9"/>
            <w:rFonts w:ascii="Times New Roman" w:hAnsi="Times New Roman" w:cs="Times New Roman"/>
            <w:sz w:val="24"/>
            <w:szCs w:val="24"/>
          </w:rPr>
          <w:t>499@</w:t>
        </w:r>
        <w:r w:rsidR="00F00346" w:rsidRPr="000F210E">
          <w:rPr>
            <w:rStyle w:val="a9"/>
            <w:rFonts w:ascii="Times New Roman" w:hAnsi="Times New Roman" w:cs="Times New Roman"/>
            <w:sz w:val="24"/>
            <w:szCs w:val="24"/>
            <w:lang w:val="en-US"/>
          </w:rPr>
          <w:t>yandex</w:t>
        </w:r>
        <w:r w:rsidR="00F00346" w:rsidRPr="000F210E">
          <w:rPr>
            <w:rStyle w:val="a9"/>
            <w:rFonts w:ascii="Times New Roman" w:hAnsi="Times New Roman" w:cs="Times New Roman"/>
            <w:sz w:val="24"/>
            <w:szCs w:val="24"/>
          </w:rPr>
          <w:t>.</w:t>
        </w:r>
        <w:r w:rsidR="00F00346" w:rsidRPr="000F210E">
          <w:rPr>
            <w:rStyle w:val="a9"/>
            <w:rFonts w:ascii="Times New Roman" w:hAnsi="Times New Roman" w:cs="Times New Roman"/>
            <w:sz w:val="24"/>
            <w:szCs w:val="24"/>
            <w:lang w:val="en-US"/>
          </w:rPr>
          <w:t>ru</w:t>
        </w:r>
      </w:hyperlink>
    </w:p>
    <w:p w14:paraId="2BCC8925" w14:textId="77777777" w:rsidR="00F00346" w:rsidRPr="007B469A" w:rsidRDefault="00F00346" w:rsidP="00F00346">
      <w:pPr>
        <w:spacing w:after="0" w:line="240" w:lineRule="auto"/>
        <w:ind w:firstLine="709"/>
        <w:jc w:val="both"/>
        <w:rPr>
          <w:rFonts w:ascii="Times New Roman" w:hAnsi="Times New Roman" w:cs="Times New Roman"/>
          <w:sz w:val="24"/>
          <w:szCs w:val="24"/>
        </w:rPr>
      </w:pPr>
    </w:p>
    <w:p w14:paraId="60B626D5" w14:textId="77777777" w:rsidR="00F00346" w:rsidRDefault="00F00346" w:rsidP="00F00346">
      <w:pPr>
        <w:spacing w:after="0" w:line="240" w:lineRule="auto"/>
        <w:jc w:val="center"/>
        <w:rPr>
          <w:rFonts w:ascii="Times New Roman" w:hAnsi="Times New Roman" w:cs="Times New Roman"/>
          <w:b/>
          <w:sz w:val="24"/>
          <w:szCs w:val="24"/>
        </w:rPr>
      </w:pPr>
      <w:r w:rsidRPr="007B469A">
        <w:rPr>
          <w:rFonts w:ascii="Times New Roman" w:hAnsi="Times New Roman" w:cs="Times New Roman"/>
          <w:b/>
          <w:sz w:val="24"/>
          <w:szCs w:val="24"/>
        </w:rPr>
        <w:t xml:space="preserve">ЗАНЯТОСТЬ В ОРГАНИЗАЦИЯХ АГРОПРОМЫШЛЕННОГО КОМПЛЕКСА НА УСЛОВИЯХ </w:t>
      </w:r>
      <w:r>
        <w:rPr>
          <w:rFonts w:ascii="Times New Roman" w:hAnsi="Times New Roman" w:cs="Times New Roman"/>
          <w:b/>
          <w:sz w:val="24"/>
          <w:szCs w:val="24"/>
        </w:rPr>
        <w:t xml:space="preserve">САМОСТОЯТЕЛЬНОГО ОБЕСПЕЧЕНИЯ РАБОТОЙ ИЛИ ЗАКЛЮЧЕНИЯ ТРУДОВОГО ДОГОВОРА </w:t>
      </w:r>
      <w:r w:rsidRPr="001A3AF7">
        <w:rPr>
          <w:rFonts w:ascii="Times New Roman" w:hAnsi="Times New Roman" w:cs="Times New Roman"/>
          <w:b/>
          <w:sz w:val="24"/>
          <w:szCs w:val="24"/>
        </w:rPr>
        <w:t xml:space="preserve">: </w:t>
      </w:r>
    </w:p>
    <w:p w14:paraId="46FCA3C7" w14:textId="77777777" w:rsidR="00F00346" w:rsidRPr="007B469A" w:rsidRDefault="00F00346" w:rsidP="00F00346">
      <w:pPr>
        <w:spacing w:after="0" w:line="240" w:lineRule="auto"/>
        <w:jc w:val="center"/>
        <w:rPr>
          <w:rFonts w:ascii="Times New Roman" w:hAnsi="Times New Roman" w:cs="Times New Roman"/>
          <w:b/>
          <w:sz w:val="24"/>
          <w:szCs w:val="24"/>
          <w:lang w:val="en-US"/>
        </w:rPr>
      </w:pPr>
      <w:r>
        <w:rPr>
          <w:rFonts w:ascii="Times New Roman" w:hAnsi="Times New Roman" w:cs="Times New Roman"/>
          <w:b/>
          <w:sz w:val="24"/>
          <w:szCs w:val="24"/>
        </w:rPr>
        <w:t>ОСОБЕННОСТИ</w:t>
      </w:r>
      <w:r w:rsidRPr="007B469A">
        <w:rPr>
          <w:rFonts w:ascii="Times New Roman" w:hAnsi="Times New Roman" w:cs="Times New Roman"/>
          <w:b/>
          <w:sz w:val="24"/>
          <w:szCs w:val="24"/>
          <w:lang w:val="en-US"/>
        </w:rPr>
        <w:t xml:space="preserve"> </w:t>
      </w:r>
      <w:r>
        <w:rPr>
          <w:rFonts w:ascii="Times New Roman" w:hAnsi="Times New Roman" w:cs="Times New Roman"/>
          <w:b/>
          <w:sz w:val="24"/>
          <w:szCs w:val="24"/>
        </w:rPr>
        <w:t>ПРАВОВОГО</w:t>
      </w:r>
      <w:r w:rsidRPr="007B469A">
        <w:rPr>
          <w:rFonts w:ascii="Times New Roman" w:hAnsi="Times New Roman" w:cs="Times New Roman"/>
          <w:b/>
          <w:sz w:val="24"/>
          <w:szCs w:val="24"/>
          <w:lang w:val="en-US"/>
        </w:rPr>
        <w:t xml:space="preserve"> </w:t>
      </w:r>
      <w:r>
        <w:rPr>
          <w:rFonts w:ascii="Times New Roman" w:hAnsi="Times New Roman" w:cs="Times New Roman"/>
          <w:b/>
          <w:sz w:val="24"/>
          <w:szCs w:val="24"/>
        </w:rPr>
        <w:t>РЕГУЛИРОВАНИЯ</w:t>
      </w:r>
    </w:p>
    <w:p w14:paraId="6523E06F" w14:textId="77777777" w:rsidR="00F00346" w:rsidRPr="007B469A" w:rsidRDefault="00F00346" w:rsidP="00F00346">
      <w:pPr>
        <w:spacing w:after="0" w:line="240" w:lineRule="auto"/>
        <w:jc w:val="center"/>
        <w:rPr>
          <w:rFonts w:ascii="Times New Roman" w:hAnsi="Times New Roman" w:cs="Times New Roman"/>
          <w:b/>
          <w:sz w:val="24"/>
          <w:szCs w:val="24"/>
          <w:highlight w:val="green"/>
          <w:lang w:val="en-US"/>
        </w:rPr>
      </w:pPr>
    </w:p>
    <w:p w14:paraId="2C65E5AE" w14:textId="77777777" w:rsidR="00F00346" w:rsidRPr="007B469A" w:rsidRDefault="00F00346" w:rsidP="00F00346">
      <w:pPr>
        <w:spacing w:after="0" w:line="240" w:lineRule="auto"/>
        <w:ind w:firstLine="709"/>
        <w:jc w:val="center"/>
        <w:rPr>
          <w:rFonts w:ascii="Times New Roman" w:hAnsi="Times New Roman" w:cs="Times New Roman"/>
          <w:b/>
          <w:sz w:val="24"/>
          <w:szCs w:val="24"/>
          <w:lang w:val="en-US"/>
        </w:rPr>
      </w:pPr>
      <w:r w:rsidRPr="007B469A">
        <w:rPr>
          <w:rFonts w:ascii="Times New Roman" w:hAnsi="Times New Roman" w:cs="Times New Roman"/>
          <w:b/>
          <w:sz w:val="24"/>
          <w:szCs w:val="24"/>
          <w:lang w:val="en-US"/>
        </w:rPr>
        <w:t>EMPLOYMENT IN THE ORGANIZATIONS OF THE AGRICULTURAL COMPLEX ON THE CONDITIONS OF INDEPENDENT SECURITY OF WORK OR CONCLUSION OF THE LABOR AGREEMENT:</w:t>
      </w:r>
    </w:p>
    <w:p w14:paraId="5C291881" w14:textId="77777777" w:rsidR="00F00346" w:rsidRDefault="00F00346" w:rsidP="00F00346">
      <w:pPr>
        <w:spacing w:after="0" w:line="240" w:lineRule="auto"/>
        <w:ind w:firstLine="709"/>
        <w:jc w:val="center"/>
        <w:rPr>
          <w:rFonts w:ascii="Times New Roman" w:hAnsi="Times New Roman" w:cs="Times New Roman"/>
          <w:b/>
          <w:sz w:val="24"/>
          <w:szCs w:val="24"/>
        </w:rPr>
      </w:pPr>
      <w:r w:rsidRPr="007B469A">
        <w:rPr>
          <w:rFonts w:ascii="Times New Roman" w:hAnsi="Times New Roman" w:cs="Times New Roman"/>
          <w:b/>
          <w:sz w:val="24"/>
          <w:szCs w:val="24"/>
          <w:lang w:val="en-US"/>
        </w:rPr>
        <w:t>FEATURES</w:t>
      </w:r>
      <w:r w:rsidRPr="00C446B3">
        <w:rPr>
          <w:rFonts w:ascii="Times New Roman" w:hAnsi="Times New Roman" w:cs="Times New Roman"/>
          <w:b/>
          <w:sz w:val="24"/>
          <w:szCs w:val="24"/>
        </w:rPr>
        <w:t xml:space="preserve"> </w:t>
      </w:r>
      <w:r w:rsidRPr="007B469A">
        <w:rPr>
          <w:rFonts w:ascii="Times New Roman" w:hAnsi="Times New Roman" w:cs="Times New Roman"/>
          <w:b/>
          <w:sz w:val="24"/>
          <w:szCs w:val="24"/>
          <w:lang w:val="en-US"/>
        </w:rPr>
        <w:t>OF</w:t>
      </w:r>
      <w:r w:rsidRPr="00C446B3">
        <w:rPr>
          <w:rFonts w:ascii="Times New Roman" w:hAnsi="Times New Roman" w:cs="Times New Roman"/>
          <w:b/>
          <w:sz w:val="24"/>
          <w:szCs w:val="24"/>
        </w:rPr>
        <w:t xml:space="preserve"> </w:t>
      </w:r>
      <w:r w:rsidRPr="007B469A">
        <w:rPr>
          <w:rFonts w:ascii="Times New Roman" w:hAnsi="Times New Roman" w:cs="Times New Roman"/>
          <w:b/>
          <w:sz w:val="24"/>
          <w:szCs w:val="24"/>
          <w:lang w:val="en-US"/>
        </w:rPr>
        <w:t>LEGAL</w:t>
      </w:r>
      <w:r w:rsidRPr="00C446B3">
        <w:rPr>
          <w:rFonts w:ascii="Times New Roman" w:hAnsi="Times New Roman" w:cs="Times New Roman"/>
          <w:b/>
          <w:sz w:val="24"/>
          <w:szCs w:val="24"/>
        </w:rPr>
        <w:t xml:space="preserve"> </w:t>
      </w:r>
      <w:r w:rsidRPr="007B469A">
        <w:rPr>
          <w:rFonts w:ascii="Times New Roman" w:hAnsi="Times New Roman" w:cs="Times New Roman"/>
          <w:b/>
          <w:sz w:val="24"/>
          <w:szCs w:val="24"/>
          <w:lang w:val="en-US"/>
        </w:rPr>
        <w:t>REGULATION</w:t>
      </w:r>
    </w:p>
    <w:p w14:paraId="2F9DF3F7" w14:textId="77777777" w:rsidR="00F00346" w:rsidRPr="007B469A" w:rsidRDefault="00F00346" w:rsidP="00F00346">
      <w:pPr>
        <w:spacing w:after="0" w:line="240" w:lineRule="auto"/>
        <w:ind w:firstLine="709"/>
        <w:jc w:val="center"/>
        <w:rPr>
          <w:rFonts w:ascii="Times New Roman" w:hAnsi="Times New Roman" w:cs="Times New Roman"/>
          <w:b/>
          <w:sz w:val="24"/>
          <w:szCs w:val="24"/>
        </w:rPr>
      </w:pPr>
    </w:p>
    <w:p w14:paraId="59A5222C" w14:textId="77777777" w:rsidR="00F00346" w:rsidRPr="007B469A" w:rsidRDefault="00F00346" w:rsidP="00F00346">
      <w:pPr>
        <w:spacing w:after="0" w:line="240" w:lineRule="auto"/>
        <w:ind w:firstLine="709"/>
        <w:jc w:val="both"/>
        <w:rPr>
          <w:rFonts w:ascii="Times New Roman" w:hAnsi="Times New Roman" w:cs="Times New Roman"/>
          <w:sz w:val="24"/>
          <w:szCs w:val="24"/>
        </w:rPr>
      </w:pPr>
      <w:r w:rsidRPr="007B469A">
        <w:rPr>
          <w:rFonts w:ascii="Times New Roman" w:hAnsi="Times New Roman" w:cs="Times New Roman"/>
          <w:i/>
          <w:sz w:val="24"/>
          <w:szCs w:val="24"/>
        </w:rPr>
        <w:t>Аннотация:</w:t>
      </w:r>
      <w:r w:rsidRPr="007B469A">
        <w:rPr>
          <w:rFonts w:ascii="Times New Roman" w:hAnsi="Times New Roman" w:cs="Times New Roman"/>
          <w:sz w:val="24"/>
          <w:szCs w:val="24"/>
        </w:rPr>
        <w:t xml:space="preserve"> В статье рассматриваются вопросы занятости работников в отраслях агропромышленного комплекса. Анализируются  направления занятости потенциальных работников в этих отраслях экономики (через органы занятости населения, через кадровые агентства занятости, самостоятельно) и направления занятости лиц, самостоятельно обеспечивающих себя работой, деятельность которых регламентирована гражданским законодательством. Вносятся предложения о важности обозначения в ст.64 Трудового кодекса РФ четкого определения деловым качествам работников. Делается вывод о наличии множества предусмотренных законодательством путей трудоустройства в отраслях агропромышленного комплекса в отличие от лиц, самостоятельно обеспечивающих себя работой, для которых предусмотрен путь самостоятельного поиска источника средств существования.</w:t>
      </w:r>
    </w:p>
    <w:p w14:paraId="2F1CCADA" w14:textId="77777777" w:rsidR="00F00346" w:rsidRPr="007B469A" w:rsidRDefault="00F00346" w:rsidP="00F00346">
      <w:pPr>
        <w:spacing w:after="0" w:line="240" w:lineRule="auto"/>
        <w:ind w:firstLine="709"/>
        <w:jc w:val="both"/>
        <w:rPr>
          <w:rFonts w:ascii="Times New Roman" w:hAnsi="Times New Roman" w:cs="Times New Roman"/>
          <w:sz w:val="24"/>
          <w:szCs w:val="24"/>
        </w:rPr>
      </w:pPr>
      <w:r w:rsidRPr="007B469A">
        <w:rPr>
          <w:rFonts w:ascii="Times New Roman" w:hAnsi="Times New Roman" w:cs="Times New Roman"/>
          <w:i/>
          <w:sz w:val="24"/>
          <w:szCs w:val="24"/>
        </w:rPr>
        <w:lastRenderedPageBreak/>
        <w:t>Ключевые слова:</w:t>
      </w:r>
      <w:r w:rsidRPr="007B469A">
        <w:rPr>
          <w:rFonts w:ascii="Times New Roman" w:hAnsi="Times New Roman" w:cs="Times New Roman"/>
          <w:sz w:val="24"/>
          <w:szCs w:val="24"/>
        </w:rPr>
        <w:t xml:space="preserve"> трудовой договор, агропромышленный комплекс, гражданско-правовой  договор, самозанятые граждане, трудоустройство</w:t>
      </w:r>
    </w:p>
    <w:p w14:paraId="7E9ED100" w14:textId="77777777" w:rsidR="00F00346" w:rsidRPr="007B469A" w:rsidRDefault="00F00346" w:rsidP="00F00346">
      <w:pPr>
        <w:spacing w:after="0" w:line="240" w:lineRule="auto"/>
        <w:ind w:firstLine="709"/>
        <w:jc w:val="both"/>
        <w:rPr>
          <w:rFonts w:ascii="Times New Roman" w:hAnsi="Times New Roman" w:cs="Times New Roman"/>
          <w:sz w:val="24"/>
          <w:szCs w:val="24"/>
          <w:lang w:val="en-US"/>
        </w:rPr>
      </w:pPr>
      <w:r w:rsidRPr="007B469A">
        <w:rPr>
          <w:rFonts w:ascii="Times New Roman" w:hAnsi="Times New Roman" w:cs="Times New Roman"/>
          <w:i/>
          <w:sz w:val="24"/>
          <w:szCs w:val="24"/>
          <w:lang w:val="en-US"/>
        </w:rPr>
        <w:t>Аnnotation:</w:t>
      </w:r>
      <w:r w:rsidRPr="007B469A">
        <w:rPr>
          <w:rFonts w:ascii="Times New Roman" w:hAnsi="Times New Roman" w:cs="Times New Roman"/>
          <w:sz w:val="24"/>
          <w:szCs w:val="24"/>
          <w:lang w:val="en-US"/>
        </w:rPr>
        <w:t xml:space="preserve"> The article discusses the employment of workers in the agricultural sector. The author analyzes the directions of employment of potential workers in these sectors of the economy (through employment agencies, through recruitment agencies, independently) and the directions of employment of self-employed people whose activities are regulated by civil law. Suggestions are made about the importance of clearly defining the business qualities of workers in Article 64 of the Labor Code of the Russian Federation. It is concluded that there are many ways of employment provided for by legislation in the sectors of the agricultural sector, in contrast to people who independently provide themselves with work, for whom there is a way to independently search for a source of livelihood.</w:t>
      </w:r>
    </w:p>
    <w:p w14:paraId="2DC4FBF7" w14:textId="77777777" w:rsidR="00F00346" w:rsidRPr="007B469A" w:rsidRDefault="00F00346" w:rsidP="00F00346">
      <w:pPr>
        <w:spacing w:after="0" w:line="240" w:lineRule="auto"/>
        <w:ind w:firstLine="709"/>
        <w:jc w:val="both"/>
        <w:rPr>
          <w:rFonts w:ascii="Times New Roman" w:hAnsi="Times New Roman" w:cs="Times New Roman"/>
          <w:sz w:val="24"/>
          <w:szCs w:val="24"/>
          <w:lang w:val="en-US"/>
        </w:rPr>
      </w:pPr>
      <w:r w:rsidRPr="007B469A">
        <w:rPr>
          <w:rFonts w:ascii="Times New Roman" w:hAnsi="Times New Roman" w:cs="Times New Roman"/>
          <w:i/>
          <w:sz w:val="24"/>
          <w:szCs w:val="24"/>
          <w:lang w:val="en-US"/>
        </w:rPr>
        <w:t>Keywords:</w:t>
      </w:r>
      <w:r w:rsidRPr="007B469A">
        <w:rPr>
          <w:rFonts w:ascii="Times New Roman" w:hAnsi="Times New Roman" w:cs="Times New Roman"/>
          <w:sz w:val="24"/>
          <w:szCs w:val="24"/>
          <w:lang w:val="en-US"/>
        </w:rPr>
        <w:t xml:space="preserve"> labor contract, agro-industrial complex, civil law contract, self-employed citizens, employment.</w:t>
      </w:r>
    </w:p>
    <w:p w14:paraId="7902FC15" w14:textId="77777777" w:rsidR="00F00346" w:rsidRDefault="00F00346" w:rsidP="00F00346">
      <w:pPr>
        <w:spacing w:after="0" w:line="240" w:lineRule="auto"/>
        <w:ind w:firstLine="709"/>
        <w:jc w:val="both"/>
        <w:rPr>
          <w:rFonts w:ascii="Times New Roman" w:hAnsi="Times New Roman" w:cs="Times New Roman"/>
          <w:sz w:val="24"/>
          <w:szCs w:val="24"/>
          <w:lang w:val="en-US"/>
        </w:rPr>
      </w:pPr>
    </w:p>
    <w:p w14:paraId="028DAB2B" w14:textId="77777777" w:rsidR="00F00346" w:rsidRDefault="00F00346" w:rsidP="00F00346">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Государственная политика в области занятости населения отличается многоаспектностью, позволяющей включить в число занятых граждан множество категорий населения. В соответствии с Законом о занятости занятыми признаются граждане, как работающие по трудовому договору, так и выполняющие работы по гражданско-правовым договорам (например, это договоры на выполнение работ или оказание услуг, авторские договоры), а также регулируемый гражданским законодательством труд и иные категории граждан</w:t>
      </w:r>
      <w:r>
        <w:rPr>
          <w:rStyle w:val="a7"/>
          <w:rFonts w:ascii="Times New Roman" w:hAnsi="Times New Roman" w:cs="Times New Roman"/>
          <w:sz w:val="24"/>
          <w:szCs w:val="24"/>
        </w:rPr>
        <w:footnoteReference w:id="412"/>
      </w:r>
      <w:r>
        <w:rPr>
          <w:rFonts w:ascii="Times New Roman" w:hAnsi="Times New Roman" w:cs="Times New Roman"/>
          <w:sz w:val="24"/>
          <w:szCs w:val="24"/>
        </w:rPr>
        <w:t>.</w:t>
      </w:r>
    </w:p>
    <w:p w14:paraId="0FEC35B7" w14:textId="77777777" w:rsidR="00F00346" w:rsidRPr="00853A48" w:rsidRDefault="00F00346" w:rsidP="00F00346">
      <w:pPr>
        <w:pStyle w:val="a8"/>
        <w:ind w:firstLine="709"/>
        <w:jc w:val="both"/>
        <w:rPr>
          <w:rFonts w:ascii="Times New Roman" w:eastAsia="Times New Roman" w:hAnsi="Times New Roman" w:cs="Times New Roman"/>
          <w:sz w:val="24"/>
          <w:szCs w:val="24"/>
        </w:rPr>
      </w:pPr>
      <w:r w:rsidRPr="00853A48">
        <w:rPr>
          <w:rFonts w:ascii="Times New Roman" w:hAnsi="Times New Roman" w:cs="Times New Roman"/>
          <w:sz w:val="24"/>
          <w:szCs w:val="24"/>
        </w:rPr>
        <w:t>И если рассматривать трудоустройство через комплекс договоров гражданско-правового характера, то здесь можно представить множество направленностей: договоры подряда, договоры оказания услуг разнопланового характера. К гражданам, деятельность которых регламентируется гражданским законодательством, относится, например, самозанятость. В рамках государственной программы развития сельских территорий осуществляются мероприятия для увеличения занятых в сфере малого и среднего предпринимательства в агропромышленном комплексе, создается система поддержки фермеров и развитие сельской кооперации, обеспечиваются благоприятные условия по осуществлению деятельности самозанятыми гражданами.</w:t>
      </w:r>
    </w:p>
    <w:p w14:paraId="73D55D95" w14:textId="77777777" w:rsidR="00F00346" w:rsidRPr="00853A48" w:rsidRDefault="00F00346" w:rsidP="00F00346">
      <w:pPr>
        <w:spacing w:after="0" w:line="240" w:lineRule="auto"/>
        <w:ind w:firstLine="709"/>
        <w:jc w:val="both"/>
        <w:rPr>
          <w:rFonts w:ascii="Times New Roman" w:hAnsi="Times New Roman" w:cs="Times New Roman"/>
          <w:sz w:val="24"/>
          <w:szCs w:val="24"/>
        </w:rPr>
      </w:pPr>
      <w:r w:rsidRPr="00853A48">
        <w:rPr>
          <w:rFonts w:ascii="Times New Roman" w:hAnsi="Times New Roman" w:cs="Times New Roman"/>
          <w:sz w:val="24"/>
          <w:szCs w:val="24"/>
        </w:rPr>
        <w:t xml:space="preserve"> Самозанятые граждане не признаны субъектами трудового права, а осуществление ими трудовой деятельности как самостоятельного труда фактически относит их к лицам, труд которых охватывает гражданское законодательство, как и труд, например, индивидуальных предпринимателей.   </w:t>
      </w:r>
    </w:p>
    <w:p w14:paraId="5B74257F" w14:textId="77777777" w:rsidR="00F00346" w:rsidRPr="00C446B3" w:rsidRDefault="00F00346" w:rsidP="00F00346">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организациях агропромышленного комплекса прием на работу осуществляется на основании трудового договора, который заключается  с работниками, поступающими на работу. Возможны различные пути трудоустройства в организации агропромышленного комплекса: через органы занятости населения, самостоятельно либо через частные кадровые агентства. </w:t>
      </w:r>
    </w:p>
    <w:p w14:paraId="11CF6975" w14:textId="77777777" w:rsidR="00F00346" w:rsidRDefault="00F00346" w:rsidP="00F00346">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Если органы занятости способствуют заключению трудового договора, ими выдается направление в организацию агропромышленного комплекса. Это направление не обязывает работодателя принимать на работу, однако если работник по деловым качествам соответствует имеющейся вакансии, то вполне возможно заключение с ним трудового договора. Понятие «деловые качества» статьей 64 Трудового кодекса РФ не раскрывается. В то же время судебная практика относит к ним и владение компьютером (конкретным необходимым работодателю программным обеспечением), и наличие профессиональных навыков, и опыта работы, и даже состояние здоровья. В качестве предложения, которое нельзя признать новым, но все же в который раз высказанным</w:t>
      </w:r>
      <w:r w:rsidRPr="00DC7886">
        <w:rPr>
          <w:rFonts w:ascii="Times New Roman" w:hAnsi="Times New Roman" w:cs="Times New Roman"/>
          <w:sz w:val="24"/>
          <w:szCs w:val="24"/>
        </w:rPr>
        <w:t xml:space="preserve"> [</w:t>
      </w:r>
      <w:r>
        <w:rPr>
          <w:rFonts w:ascii="Times New Roman" w:hAnsi="Times New Roman" w:cs="Times New Roman"/>
          <w:sz w:val="24"/>
          <w:szCs w:val="24"/>
        </w:rPr>
        <w:t>1</w:t>
      </w:r>
      <w:r w:rsidRPr="00DC7886">
        <w:rPr>
          <w:rFonts w:ascii="Times New Roman" w:hAnsi="Times New Roman" w:cs="Times New Roman"/>
          <w:sz w:val="24"/>
          <w:szCs w:val="24"/>
        </w:rPr>
        <w:t>]</w:t>
      </w:r>
      <w:r>
        <w:rPr>
          <w:rFonts w:ascii="Times New Roman" w:hAnsi="Times New Roman" w:cs="Times New Roman"/>
          <w:sz w:val="24"/>
          <w:szCs w:val="24"/>
        </w:rPr>
        <w:t xml:space="preserve">, необходимо внести дополнения в ст. 64 Трудового кодекса РФ, закрепив ней определение деловым качествам работника. </w:t>
      </w:r>
    </w:p>
    <w:p w14:paraId="5D0D6BB1" w14:textId="77777777" w:rsidR="00F00346" w:rsidRPr="006B2B5E" w:rsidRDefault="00F00346" w:rsidP="00F00346">
      <w:pPr>
        <w:pStyle w:val="a8"/>
        <w:ind w:firstLine="709"/>
        <w:jc w:val="both"/>
        <w:rPr>
          <w:rFonts w:ascii="Times New Roman" w:hAnsi="Times New Roman" w:cs="Times New Roman"/>
          <w:sz w:val="24"/>
          <w:szCs w:val="24"/>
        </w:rPr>
      </w:pPr>
      <w:r w:rsidRPr="006B2B5E">
        <w:rPr>
          <w:rFonts w:ascii="Times New Roman" w:hAnsi="Times New Roman" w:cs="Times New Roman"/>
          <w:sz w:val="24"/>
          <w:szCs w:val="24"/>
        </w:rPr>
        <w:lastRenderedPageBreak/>
        <w:t xml:space="preserve">Самостоятельное трудоустройство в организации агропромышленного комплекса предполагает возможность заключения трудовых договоров напрямую работником с работодателем, минуя как органы занятости населения, так и частные кадровые агентства. Сотрудники – это самое ценное, что есть у компании, так как от качественной и квалифицированной работы зависит успех любого предприятия. Холдинги стараются разработать собственную кадровую политику, привлечь и удержать персонал на всех уровнях, разработать мотивационные и стимулирующие программы, обеспечить социальную защищенность сотрудников дополнительными льготами, возможностью повышения квалификации и карьерного роста.   Как правило, все крупные агрохолдинги заинтересованы в привлечении работников. На своих страницах в сети «Интернет» ими размещается информация о потребности в работниках, об имеющихся вакансиях. </w:t>
      </w:r>
    </w:p>
    <w:p w14:paraId="66E95C5C" w14:textId="77777777" w:rsidR="00F00346" w:rsidRPr="006B2B5E" w:rsidRDefault="00F00346" w:rsidP="00F00346">
      <w:pPr>
        <w:pStyle w:val="a8"/>
        <w:ind w:firstLine="709"/>
        <w:jc w:val="both"/>
        <w:rPr>
          <w:rFonts w:ascii="Times New Roman" w:hAnsi="Times New Roman" w:cs="Times New Roman"/>
          <w:sz w:val="24"/>
          <w:szCs w:val="24"/>
        </w:rPr>
      </w:pPr>
      <w:r w:rsidRPr="006B2B5E">
        <w:rPr>
          <w:rFonts w:ascii="Times New Roman" w:hAnsi="Times New Roman" w:cs="Times New Roman"/>
          <w:sz w:val="24"/>
          <w:szCs w:val="24"/>
        </w:rPr>
        <w:t>Одним из направлений самостоятельного поиска работы может стать портал «Работа в России» - Единая федеральная государственная информационная система вакансий Федеральной службы по труду и занятости</w:t>
      </w:r>
      <w:r>
        <w:rPr>
          <w:rStyle w:val="a7"/>
          <w:rFonts w:ascii="Times New Roman" w:hAnsi="Times New Roman" w:cs="Times New Roman"/>
          <w:sz w:val="24"/>
          <w:szCs w:val="24"/>
        </w:rPr>
        <w:footnoteReference w:id="413"/>
      </w:r>
      <w:r w:rsidRPr="006B2B5E">
        <w:rPr>
          <w:rFonts w:ascii="Times New Roman" w:hAnsi="Times New Roman" w:cs="Times New Roman"/>
          <w:sz w:val="24"/>
          <w:szCs w:val="24"/>
        </w:rPr>
        <w:t>. Он создан для оказания помощи гражданам и работодателям в поисках работы и сотрудников. Данная система имеет ряд преимуществ: доступность для любого гражданина, проверенная информация о вакансиях и работодателях, отсутствие рекламы. Информация о вакансиях на портал поступает не только из центров занятости населения, но и напрямую от самих работодателей, и крупнейших коммерческих порталов по поиску и подбору работы.</w:t>
      </w:r>
    </w:p>
    <w:p w14:paraId="21892751" w14:textId="77777777" w:rsidR="00F00346" w:rsidRPr="006B2B5E" w:rsidRDefault="00F00346" w:rsidP="00F00346">
      <w:pPr>
        <w:pStyle w:val="a8"/>
        <w:ind w:firstLine="709"/>
        <w:jc w:val="both"/>
        <w:rPr>
          <w:rFonts w:ascii="Times New Roman" w:hAnsi="Times New Roman" w:cs="Times New Roman"/>
          <w:sz w:val="24"/>
          <w:szCs w:val="24"/>
        </w:rPr>
      </w:pPr>
      <w:r w:rsidRPr="006B2B5E">
        <w:rPr>
          <w:rFonts w:ascii="Times New Roman" w:hAnsi="Times New Roman" w:cs="Times New Roman"/>
          <w:sz w:val="24"/>
          <w:szCs w:val="24"/>
        </w:rPr>
        <w:t>Для создания вакансии на портале «Работа в России» работодателю необходимо зарегистрироваться с использованием инфраструктуры электронного правительства, обеспечивающей представление государственных услуг в электронном виде или с помощью специалиста центра занятости населения, который проводит проверку данных о компании.</w:t>
      </w:r>
    </w:p>
    <w:p w14:paraId="25B60580" w14:textId="77777777" w:rsidR="00F00346" w:rsidRPr="00853A48" w:rsidRDefault="00F00346" w:rsidP="00F00346">
      <w:pPr>
        <w:pStyle w:val="a8"/>
        <w:ind w:firstLine="709"/>
        <w:jc w:val="both"/>
        <w:rPr>
          <w:rFonts w:ascii="Times New Roman" w:hAnsi="Times New Roman" w:cs="Times New Roman"/>
          <w:sz w:val="24"/>
          <w:szCs w:val="24"/>
        </w:rPr>
      </w:pPr>
      <w:r w:rsidRPr="006B2B5E">
        <w:rPr>
          <w:rFonts w:ascii="Times New Roman" w:hAnsi="Times New Roman" w:cs="Times New Roman"/>
          <w:sz w:val="24"/>
          <w:szCs w:val="24"/>
        </w:rPr>
        <w:t xml:space="preserve">Для поиска подходящей вакансии на данном портале имеется возможность размещения резюме, но только после регистрации на портале государственных услуг (если гражданин зарегистрирован на портале государственных услуг, то вход для размещения резюме осуществляется с помощью логина и пароля для портала </w:t>
      </w:r>
      <w:r w:rsidRPr="00853A48">
        <w:rPr>
          <w:rFonts w:ascii="Times New Roman" w:hAnsi="Times New Roman" w:cs="Times New Roman"/>
          <w:sz w:val="24"/>
          <w:szCs w:val="24"/>
        </w:rPr>
        <w:t>государственных услуг). Таким образом, обеспечивается проверка соискателей.</w:t>
      </w:r>
    </w:p>
    <w:p w14:paraId="52FDC662" w14:textId="77777777" w:rsidR="00F00346" w:rsidRPr="00853A48" w:rsidRDefault="00F00346" w:rsidP="00F00346">
      <w:pPr>
        <w:pStyle w:val="a8"/>
        <w:ind w:firstLine="709"/>
        <w:jc w:val="both"/>
        <w:rPr>
          <w:rFonts w:ascii="Times New Roman" w:hAnsi="Times New Roman" w:cs="Times New Roman"/>
          <w:sz w:val="24"/>
          <w:szCs w:val="24"/>
        </w:rPr>
      </w:pPr>
      <w:r w:rsidRPr="00853A48">
        <w:rPr>
          <w:rFonts w:ascii="Times New Roman" w:hAnsi="Times New Roman" w:cs="Times New Roman"/>
          <w:sz w:val="24"/>
          <w:szCs w:val="24"/>
        </w:rPr>
        <w:t>Так же для граждан, занимающихся поиском работы на портале «Работа в России», размещена интерактивная карта привлекательности регионов с показателями уровня жизни, состояния экологии, доступности жилья, среднего уровня доходов, наличия инвестиционных программ.</w:t>
      </w:r>
    </w:p>
    <w:p w14:paraId="6CB070FF" w14:textId="77777777" w:rsidR="00F00346" w:rsidRPr="00853A48" w:rsidRDefault="00F00346" w:rsidP="00F00346">
      <w:pPr>
        <w:pStyle w:val="a8"/>
        <w:ind w:firstLine="709"/>
        <w:jc w:val="both"/>
        <w:rPr>
          <w:rFonts w:ascii="Times New Roman" w:hAnsi="Times New Roman" w:cs="Times New Roman"/>
          <w:sz w:val="24"/>
          <w:szCs w:val="24"/>
        </w:rPr>
      </w:pPr>
      <w:r w:rsidRPr="00853A48">
        <w:rPr>
          <w:rFonts w:ascii="Times New Roman" w:hAnsi="Times New Roman" w:cs="Times New Roman"/>
          <w:sz w:val="24"/>
          <w:szCs w:val="24"/>
        </w:rPr>
        <w:t>Информационная система «Работа в России» является общероссийской базой вакансий, информация о потребности в работниках в сфере сельского  хозяйства, экологии и ветеринарии составляет всего 2,55% от всех предложенных вакансий, что свидетельствует об имеющемся высоком проценте трудоустройства в этих отраслях агропромышленного комплекса.</w:t>
      </w:r>
    </w:p>
    <w:p w14:paraId="47EBC6D8" w14:textId="77777777" w:rsidR="00F00346" w:rsidRPr="00853A48" w:rsidRDefault="00F00346" w:rsidP="00F00346">
      <w:pPr>
        <w:spacing w:after="0" w:line="240" w:lineRule="auto"/>
        <w:ind w:firstLine="709"/>
        <w:jc w:val="both"/>
        <w:rPr>
          <w:rFonts w:ascii="Times New Roman" w:hAnsi="Times New Roman" w:cs="Times New Roman"/>
          <w:sz w:val="24"/>
          <w:szCs w:val="24"/>
        </w:rPr>
      </w:pPr>
      <w:r w:rsidRPr="00853A48">
        <w:rPr>
          <w:rFonts w:ascii="Times New Roman" w:hAnsi="Times New Roman" w:cs="Times New Roman"/>
          <w:sz w:val="24"/>
          <w:szCs w:val="24"/>
        </w:rPr>
        <w:t>Еще один предусмотренный законом путь заключения трудового договора в отраслях агропромышленного комплекса, это трудоустройство через частные кадровые агентства. Надо признать, что это наименее востребованный путь трудоустройства. По данным Федеральной службы по труду и занятости на 31.05.2020г. зарегистрировано 1452 аккредитованных частных агентства</w:t>
      </w:r>
      <w:r>
        <w:rPr>
          <w:rFonts w:ascii="Times New Roman" w:hAnsi="Times New Roman" w:cs="Times New Roman"/>
          <w:sz w:val="24"/>
          <w:szCs w:val="24"/>
        </w:rPr>
        <w:t xml:space="preserve"> занятости</w:t>
      </w:r>
      <w:r>
        <w:rPr>
          <w:rStyle w:val="a7"/>
          <w:rFonts w:ascii="Times New Roman" w:hAnsi="Times New Roman" w:cs="Times New Roman"/>
          <w:sz w:val="24"/>
          <w:szCs w:val="24"/>
        </w:rPr>
        <w:footnoteReference w:id="414"/>
      </w:r>
      <w:r w:rsidRPr="00853A48">
        <w:rPr>
          <w:rFonts w:ascii="Times New Roman" w:hAnsi="Times New Roman" w:cs="Times New Roman"/>
          <w:sz w:val="24"/>
          <w:szCs w:val="24"/>
        </w:rPr>
        <w:t>. В статье 18.1 Закона «О занятости населения» и в Трудовом кодексе РФ регулируется деятельность по направлению временно работодателю своих работников к физическому или юридическому лицу, для выполнения данными работниками трудовых обязанностей в интересах, под контролем и управлением принимающей стороны</w:t>
      </w:r>
      <w:r>
        <w:rPr>
          <w:rStyle w:val="a7"/>
          <w:rFonts w:ascii="Times New Roman" w:hAnsi="Times New Roman" w:cs="Times New Roman"/>
          <w:sz w:val="24"/>
          <w:szCs w:val="24"/>
        </w:rPr>
        <w:footnoteReference w:id="415"/>
      </w:r>
      <w:r w:rsidRPr="00853A48">
        <w:rPr>
          <w:rFonts w:ascii="Times New Roman" w:hAnsi="Times New Roman" w:cs="Times New Roman"/>
          <w:sz w:val="24"/>
          <w:szCs w:val="24"/>
        </w:rPr>
        <w:t xml:space="preserve">.  </w:t>
      </w:r>
    </w:p>
    <w:p w14:paraId="3B382F00" w14:textId="77777777" w:rsidR="00F00346" w:rsidRDefault="00F00346" w:rsidP="00F00346">
      <w:pPr>
        <w:pStyle w:val="a8"/>
        <w:ind w:firstLine="709"/>
        <w:jc w:val="both"/>
        <w:rPr>
          <w:rFonts w:ascii="Times New Roman" w:hAnsi="Times New Roman" w:cs="Times New Roman"/>
          <w:sz w:val="24"/>
          <w:szCs w:val="24"/>
        </w:rPr>
      </w:pPr>
      <w:r w:rsidRPr="00853A48">
        <w:rPr>
          <w:rFonts w:ascii="Times New Roman" w:hAnsi="Times New Roman" w:cs="Times New Roman"/>
          <w:sz w:val="24"/>
          <w:szCs w:val="24"/>
        </w:rPr>
        <w:t xml:space="preserve">Аккредитованное частное агентство принимает на работу работника, а затем направляет его на выполнение работ к другому лицу. В сфере агропромышленного комплекса </w:t>
      </w:r>
      <w:r w:rsidRPr="00853A48">
        <w:rPr>
          <w:rFonts w:ascii="Times New Roman" w:hAnsi="Times New Roman" w:cs="Times New Roman"/>
          <w:sz w:val="24"/>
          <w:szCs w:val="24"/>
        </w:rPr>
        <w:lastRenderedPageBreak/>
        <w:t>такая система работает весьма слабо, так как работник, как правило, самостоятельно обращается к работодателю в связи с сезонностью работ. Агентству занятости так же не выгодно держать невостребованного работника на протяжении большей части года. К тому же стоимость услуг частных агентств занятости колеблется от 25000 руб. до 65000 руб. для работодателей за обслуживание, и от 15%-30% годового заработка для работника.</w:t>
      </w:r>
    </w:p>
    <w:p w14:paraId="756FE75E" w14:textId="77777777" w:rsidR="00F00346" w:rsidRPr="001A3AF7" w:rsidRDefault="00F00346" w:rsidP="00F00346">
      <w:pPr>
        <w:pStyle w:val="a8"/>
        <w:ind w:firstLine="709"/>
        <w:jc w:val="both"/>
        <w:rPr>
          <w:rFonts w:ascii="Times New Roman" w:hAnsi="Times New Roman" w:cs="Times New Roman"/>
          <w:b/>
          <w:sz w:val="24"/>
          <w:szCs w:val="24"/>
        </w:rPr>
      </w:pPr>
      <w:r>
        <w:rPr>
          <w:rFonts w:ascii="Times New Roman" w:hAnsi="Times New Roman" w:cs="Times New Roman"/>
          <w:sz w:val="24"/>
          <w:szCs w:val="24"/>
        </w:rPr>
        <w:t xml:space="preserve">Рассмотренные нами пути трудоустройства в организации агропромышленного комплекса на условиях трудового договора свидетельствуют о помощи потенциальным работникам со стороны государства, </w:t>
      </w:r>
      <w:r w:rsidRPr="00853A48">
        <w:rPr>
          <w:rFonts w:ascii="Times New Roman" w:hAnsi="Times New Roman" w:cs="Times New Roman"/>
          <w:sz w:val="24"/>
          <w:szCs w:val="24"/>
        </w:rPr>
        <w:t>аккредитованных частных агентств</w:t>
      </w:r>
      <w:r>
        <w:rPr>
          <w:rFonts w:ascii="Times New Roman" w:hAnsi="Times New Roman" w:cs="Times New Roman"/>
          <w:sz w:val="24"/>
          <w:szCs w:val="24"/>
        </w:rPr>
        <w:t xml:space="preserve"> занятости, информационных источников. В то же время самостоятельность трудовой деятельности субъекта гражданских правоотношений предполагает наличие и исключительность самостоятельного поиска источника средств существования. В этом самое главное отличие исследуемых нами путей обеспечения занятости </w:t>
      </w:r>
      <w:r w:rsidRPr="002574D4">
        <w:rPr>
          <w:rFonts w:ascii="Times New Roman" w:hAnsi="Times New Roman" w:cs="Times New Roman"/>
          <w:sz w:val="24"/>
          <w:szCs w:val="24"/>
        </w:rPr>
        <w:t>в организациях агропромышленного комплекса на условиях трудового договора и гражданско-правового регулирования возникших отношений</w:t>
      </w:r>
      <w:r>
        <w:rPr>
          <w:rFonts w:ascii="Times New Roman" w:hAnsi="Times New Roman" w:cs="Times New Roman"/>
          <w:sz w:val="24"/>
          <w:szCs w:val="24"/>
        </w:rPr>
        <w:t xml:space="preserve">. </w:t>
      </w:r>
      <w:r>
        <w:rPr>
          <w:rFonts w:ascii="Times New Roman" w:hAnsi="Times New Roman" w:cs="Times New Roman"/>
          <w:b/>
          <w:sz w:val="24"/>
          <w:szCs w:val="24"/>
        </w:rPr>
        <w:t xml:space="preserve"> </w:t>
      </w:r>
      <w:r w:rsidRPr="001A3AF7">
        <w:rPr>
          <w:rFonts w:ascii="Times New Roman" w:hAnsi="Times New Roman" w:cs="Times New Roman"/>
          <w:b/>
          <w:sz w:val="24"/>
          <w:szCs w:val="24"/>
        </w:rPr>
        <w:t xml:space="preserve"> </w:t>
      </w:r>
      <w:r>
        <w:rPr>
          <w:rFonts w:ascii="Times New Roman" w:hAnsi="Times New Roman" w:cs="Times New Roman"/>
          <w:b/>
          <w:sz w:val="24"/>
          <w:szCs w:val="24"/>
        </w:rPr>
        <w:t xml:space="preserve"> </w:t>
      </w:r>
    </w:p>
    <w:p w14:paraId="610BEF37" w14:textId="77777777" w:rsidR="00F00346" w:rsidRPr="00853A48" w:rsidRDefault="00F00346" w:rsidP="00F00346">
      <w:pPr>
        <w:spacing w:after="0" w:line="240" w:lineRule="auto"/>
        <w:ind w:firstLine="709"/>
        <w:jc w:val="both"/>
        <w:rPr>
          <w:rFonts w:ascii="Times New Roman" w:hAnsi="Times New Roman" w:cs="Times New Roman"/>
          <w:sz w:val="24"/>
          <w:szCs w:val="24"/>
        </w:rPr>
      </w:pPr>
    </w:p>
    <w:p w14:paraId="21E50ABE" w14:textId="77777777" w:rsidR="00F00346" w:rsidRPr="005952F2" w:rsidRDefault="00F00346" w:rsidP="00F00346">
      <w:pPr>
        <w:jc w:val="center"/>
        <w:rPr>
          <w:rFonts w:ascii="Times New Roman" w:eastAsia="Calibri" w:hAnsi="Times New Roman" w:cs="Times New Roman"/>
          <w:b/>
          <w:sz w:val="24"/>
          <w:szCs w:val="24"/>
        </w:rPr>
      </w:pPr>
      <w:r w:rsidRPr="005952F2">
        <w:rPr>
          <w:rFonts w:ascii="Times New Roman" w:eastAsia="Calibri" w:hAnsi="Times New Roman" w:cs="Times New Roman"/>
          <w:b/>
          <w:sz w:val="24"/>
          <w:szCs w:val="24"/>
        </w:rPr>
        <w:t>Библиографический список</w:t>
      </w:r>
    </w:p>
    <w:p w14:paraId="2E407C88" w14:textId="77777777" w:rsidR="00F00346" w:rsidRDefault="00F00346" w:rsidP="00F00346">
      <w:pPr>
        <w:pStyle w:val="a8"/>
        <w:numPr>
          <w:ilvl w:val="0"/>
          <w:numId w:val="58"/>
        </w:numPr>
        <w:tabs>
          <w:tab w:val="left" w:pos="993"/>
        </w:tabs>
        <w:ind w:left="0" w:firstLine="709"/>
        <w:jc w:val="both"/>
        <w:rPr>
          <w:rFonts w:ascii="Times New Roman" w:hAnsi="Times New Roman" w:cs="Times New Roman"/>
          <w:sz w:val="24"/>
          <w:szCs w:val="24"/>
        </w:rPr>
        <w:sectPr w:rsidR="00F00346" w:rsidSect="005A2B3B">
          <w:footnotePr>
            <w:numRestart w:val="eachPage"/>
          </w:footnotePr>
          <w:pgSz w:w="11906" w:h="16838"/>
          <w:pgMar w:top="1134" w:right="1134" w:bottom="1134" w:left="1134" w:header="709" w:footer="709" w:gutter="0"/>
          <w:cols w:space="708"/>
          <w:docGrid w:linePitch="360"/>
        </w:sectPr>
      </w:pPr>
      <w:r w:rsidRPr="00FE6FB8">
        <w:rPr>
          <w:rFonts w:ascii="Times New Roman" w:hAnsi="Times New Roman" w:cs="Times New Roman"/>
          <w:sz w:val="24"/>
          <w:szCs w:val="24"/>
        </w:rPr>
        <w:t>Адриановская Т.Л. Ответственность работодателя за незаконное лишение работника возможности трудиться //Очерки новейшей камералистики. 2013. №1. С.34-39</w:t>
      </w:r>
    </w:p>
    <w:p w14:paraId="372D5828" w14:textId="77777777" w:rsidR="00F00346" w:rsidRDefault="00F00346" w:rsidP="00F00346">
      <w:pPr>
        <w:pStyle w:val="a8"/>
        <w:ind w:firstLine="709"/>
        <w:jc w:val="both"/>
      </w:pPr>
    </w:p>
    <w:p w14:paraId="619BC534" w14:textId="77777777" w:rsidR="00F00346" w:rsidRDefault="00F00346" w:rsidP="00F00346">
      <w:pPr>
        <w:spacing w:after="0" w:line="240" w:lineRule="auto"/>
        <w:ind w:firstLine="709"/>
        <w:jc w:val="both"/>
      </w:pPr>
    </w:p>
    <w:p w14:paraId="236344AB"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4"/>
          <w:szCs w:val="24"/>
        </w:rPr>
      </w:pPr>
    </w:p>
    <w:p w14:paraId="324E0C78" w14:textId="77777777" w:rsidR="001B6C3B" w:rsidRDefault="001B6C3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p>
    <w:p w14:paraId="0C7E95F6" w14:textId="77777777" w:rsidR="00D85D64" w:rsidRDefault="00D85D64" w:rsidP="007F4E88">
      <w:pPr>
        <w:pStyle w:val="aa"/>
        <w:rPr>
          <w:color w:val="000000"/>
          <w:sz w:val="27"/>
          <w:szCs w:val="27"/>
        </w:rPr>
      </w:pPr>
    </w:p>
    <w:p w14:paraId="555D86B1" w14:textId="1CF068A9" w:rsidR="007D2D1D" w:rsidRPr="007D2D1D" w:rsidRDefault="007D2D1D" w:rsidP="007D2D1D">
      <w:pPr>
        <w:pStyle w:val="aa"/>
        <w:jc w:val="center"/>
        <w:rPr>
          <w:b/>
          <w:bCs/>
          <w:color w:val="000000"/>
          <w:sz w:val="27"/>
          <w:szCs w:val="27"/>
        </w:rPr>
      </w:pPr>
      <w:r w:rsidRPr="007D2D1D">
        <w:rPr>
          <w:b/>
          <w:bCs/>
          <w:color w:val="000000"/>
          <w:sz w:val="27"/>
          <w:szCs w:val="27"/>
        </w:rPr>
        <w:t xml:space="preserve">Гражданское законодательство РФ: </w:t>
      </w:r>
      <w:r w:rsidR="00AA3758">
        <w:rPr>
          <w:b/>
          <w:bCs/>
          <w:color w:val="000000"/>
          <w:sz w:val="27"/>
          <w:szCs w:val="27"/>
        </w:rPr>
        <w:t xml:space="preserve">история и </w:t>
      </w:r>
      <w:r w:rsidRPr="007D2D1D">
        <w:rPr>
          <w:b/>
          <w:bCs/>
          <w:color w:val="000000"/>
          <w:sz w:val="27"/>
          <w:szCs w:val="27"/>
        </w:rPr>
        <w:t>современное состояние, тенденции и перспективы развития»</w:t>
      </w:r>
    </w:p>
    <w:p w14:paraId="393C322C" w14:textId="77777777" w:rsidR="007D2D1D" w:rsidRPr="007D2D1D" w:rsidRDefault="007D2D1D" w:rsidP="007D2D1D">
      <w:pPr>
        <w:pStyle w:val="aa"/>
        <w:jc w:val="center"/>
        <w:rPr>
          <w:b/>
          <w:bCs/>
          <w:color w:val="000000"/>
          <w:sz w:val="27"/>
          <w:szCs w:val="27"/>
        </w:rPr>
      </w:pPr>
    </w:p>
    <w:p w14:paraId="3BB9FA10" w14:textId="138749C7" w:rsidR="007D2D1D" w:rsidRPr="009B4981" w:rsidRDefault="009B4981" w:rsidP="007D2D1D">
      <w:pPr>
        <w:pStyle w:val="aa"/>
        <w:jc w:val="center"/>
        <w:rPr>
          <w:color w:val="000000"/>
        </w:rPr>
      </w:pPr>
      <w:r w:rsidRPr="009B4981">
        <w:t xml:space="preserve">Сборник статей </w:t>
      </w:r>
      <w:r w:rsidRPr="009B4981">
        <w:rPr>
          <w:rFonts w:eastAsia="MS Mincho"/>
          <w:lang w:val="en-US"/>
        </w:rPr>
        <w:t>V</w:t>
      </w:r>
      <w:r w:rsidRPr="009B4981">
        <w:rPr>
          <w:rFonts w:eastAsia="MS Mincho"/>
        </w:rPr>
        <w:t xml:space="preserve"> Национальной научно-практической конференции (симпозиума) (</w:t>
      </w:r>
      <w:r w:rsidRPr="009B4981">
        <w:t>г. Краснодар, 15 мая 2020 г.).</w:t>
      </w:r>
    </w:p>
    <w:p w14:paraId="68BB140C" w14:textId="77777777" w:rsidR="007D2D1D" w:rsidRDefault="007D2D1D" w:rsidP="007D2D1D">
      <w:pPr>
        <w:pStyle w:val="aa"/>
        <w:jc w:val="center"/>
        <w:rPr>
          <w:color w:val="000000"/>
          <w:sz w:val="27"/>
          <w:szCs w:val="27"/>
        </w:rPr>
      </w:pPr>
      <w:r>
        <w:rPr>
          <w:color w:val="000000"/>
          <w:sz w:val="27"/>
          <w:szCs w:val="27"/>
        </w:rPr>
        <w:t>Статьи представлены в авторской редакции</w:t>
      </w:r>
    </w:p>
    <w:p w14:paraId="6BFD0133" w14:textId="547758EF" w:rsidR="007D2D1D" w:rsidRPr="00E91627" w:rsidRDefault="007D2D1D" w:rsidP="007D2D1D">
      <w:pPr>
        <w:pStyle w:val="aa"/>
        <w:jc w:val="center"/>
        <w:rPr>
          <w:sz w:val="27"/>
          <w:szCs w:val="27"/>
        </w:rPr>
      </w:pPr>
      <w:r>
        <w:rPr>
          <w:color w:val="000000"/>
          <w:sz w:val="27"/>
          <w:szCs w:val="27"/>
        </w:rPr>
        <w:t xml:space="preserve">Подписано в печать </w:t>
      </w:r>
      <w:r w:rsidRPr="00E91627">
        <w:rPr>
          <w:sz w:val="27"/>
          <w:szCs w:val="27"/>
        </w:rPr>
        <w:t>2</w:t>
      </w:r>
      <w:r w:rsidR="009B4981">
        <w:rPr>
          <w:sz w:val="27"/>
          <w:szCs w:val="27"/>
        </w:rPr>
        <w:t>9</w:t>
      </w:r>
      <w:r w:rsidRPr="00E91627">
        <w:rPr>
          <w:sz w:val="27"/>
          <w:szCs w:val="27"/>
        </w:rPr>
        <w:t>.0</w:t>
      </w:r>
      <w:r w:rsidR="009B4981">
        <w:rPr>
          <w:sz w:val="27"/>
          <w:szCs w:val="27"/>
        </w:rPr>
        <w:t>6</w:t>
      </w:r>
      <w:r w:rsidRPr="00E91627">
        <w:rPr>
          <w:sz w:val="27"/>
          <w:szCs w:val="27"/>
        </w:rPr>
        <w:t>.20</w:t>
      </w:r>
      <w:r w:rsidR="009B4981">
        <w:rPr>
          <w:sz w:val="27"/>
          <w:szCs w:val="27"/>
        </w:rPr>
        <w:t>20</w:t>
      </w:r>
      <w:r w:rsidRPr="00E91627">
        <w:rPr>
          <w:sz w:val="27"/>
          <w:szCs w:val="27"/>
        </w:rPr>
        <w:t xml:space="preserve"> г. Формат 60 × 84 1/8.</w:t>
      </w:r>
    </w:p>
    <w:p w14:paraId="6423F07F" w14:textId="7C1C3DBD" w:rsidR="007D2D1D" w:rsidRPr="00E91627" w:rsidRDefault="007D2D1D" w:rsidP="007D2D1D">
      <w:pPr>
        <w:pStyle w:val="aa"/>
        <w:jc w:val="center"/>
        <w:rPr>
          <w:sz w:val="27"/>
          <w:szCs w:val="27"/>
        </w:rPr>
      </w:pPr>
      <w:r w:rsidRPr="00E91627">
        <w:rPr>
          <w:sz w:val="27"/>
          <w:szCs w:val="27"/>
        </w:rPr>
        <w:t xml:space="preserve"> Уч.-изд. л. –21,7.</w:t>
      </w:r>
    </w:p>
    <w:p w14:paraId="51CE126D" w14:textId="77777777" w:rsidR="007D2D1D" w:rsidRDefault="007D2D1D" w:rsidP="007D2D1D">
      <w:pPr>
        <w:pStyle w:val="aa"/>
        <w:jc w:val="center"/>
        <w:rPr>
          <w:color w:val="000000"/>
          <w:sz w:val="27"/>
          <w:szCs w:val="27"/>
        </w:rPr>
      </w:pPr>
      <w:r>
        <w:rPr>
          <w:color w:val="000000"/>
          <w:sz w:val="27"/>
          <w:szCs w:val="27"/>
        </w:rPr>
        <w:t>Электронная версия</w:t>
      </w:r>
    </w:p>
    <w:p w14:paraId="69A5B4B7" w14:textId="77777777" w:rsidR="007D2D1D" w:rsidRDefault="007D2D1D" w:rsidP="007D2D1D">
      <w:pPr>
        <w:pStyle w:val="aa"/>
        <w:jc w:val="center"/>
        <w:rPr>
          <w:color w:val="000000"/>
          <w:sz w:val="27"/>
          <w:szCs w:val="27"/>
        </w:rPr>
      </w:pPr>
      <w:r>
        <w:rPr>
          <w:color w:val="000000"/>
          <w:sz w:val="27"/>
          <w:szCs w:val="27"/>
        </w:rPr>
        <w:t>350044, г. Краснодар, ул. Калинина, д. 13</w:t>
      </w:r>
    </w:p>
    <w:p w14:paraId="22BD6641" w14:textId="7E0EE7F8" w:rsidR="00B92FFD" w:rsidRPr="00DC5B86" w:rsidRDefault="00B92FFD" w:rsidP="00B92FFD">
      <w:pPr>
        <w:pStyle w:val="a8"/>
        <w:ind w:firstLine="709"/>
        <w:jc w:val="both"/>
        <w:rPr>
          <w:rFonts w:ascii="Times New Roman" w:hAnsi="Times New Roman" w:cs="Times New Roman"/>
          <w:sz w:val="24"/>
          <w:szCs w:val="24"/>
        </w:rPr>
      </w:pPr>
    </w:p>
    <w:p w14:paraId="7E51FCBA" w14:textId="77777777" w:rsidR="00FA4B2A" w:rsidRPr="001746CB" w:rsidRDefault="00FA4B2A" w:rsidP="00B92FFD">
      <w:pPr>
        <w:pStyle w:val="a8"/>
        <w:ind w:firstLine="709"/>
        <w:jc w:val="both"/>
        <w:rPr>
          <w:rFonts w:ascii="Times New Roman" w:hAnsi="Times New Roman" w:cs="Times New Roman"/>
          <w:sz w:val="24"/>
          <w:szCs w:val="24"/>
        </w:rPr>
      </w:pPr>
    </w:p>
    <w:sectPr w:rsidR="00FA4B2A" w:rsidRPr="001746CB" w:rsidSect="005A2B3B">
      <w:footnotePr>
        <w:numRestart w:val="eachPage"/>
      </w:footnotePr>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B906A1B" w14:textId="77777777" w:rsidR="00EE7838" w:rsidRDefault="00EE7838" w:rsidP="00D16144">
      <w:pPr>
        <w:spacing w:after="0" w:line="240" w:lineRule="auto"/>
      </w:pPr>
      <w:r>
        <w:separator/>
      </w:r>
    </w:p>
  </w:endnote>
  <w:endnote w:type="continuationSeparator" w:id="0">
    <w:p w14:paraId="1DEE7A65" w14:textId="77777777" w:rsidR="00EE7838" w:rsidRDefault="00EE7838" w:rsidP="00D161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Helvetica Neue">
    <w:altName w:val="Times New Roman"/>
    <w:panose1 w:val="02000503000000020004"/>
    <w:charset w:val="00"/>
    <w:family w:val="auto"/>
    <w:pitch w:val="variable"/>
    <w:sig w:usb0="E50002FF" w:usb1="500079DB" w:usb2="0000001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imes New Roman" w:hAnsi="Times New Roman" w:cs="Times New Roman"/>
        <w:sz w:val="24"/>
        <w:szCs w:val="24"/>
      </w:rPr>
      <w:id w:val="316307316"/>
      <w:docPartObj>
        <w:docPartGallery w:val="Page Numbers (Bottom of Page)"/>
        <w:docPartUnique/>
      </w:docPartObj>
    </w:sdtPr>
    <w:sdtEndPr/>
    <w:sdtContent>
      <w:p w14:paraId="7A10B96F" w14:textId="77777777" w:rsidR="00E91627" w:rsidRPr="00DE0826" w:rsidRDefault="00E91627" w:rsidP="00DE0826">
        <w:pPr>
          <w:pStyle w:val="af7"/>
          <w:jc w:val="right"/>
          <w:rPr>
            <w:rFonts w:ascii="Times New Roman" w:hAnsi="Times New Roman" w:cs="Times New Roman"/>
            <w:sz w:val="24"/>
            <w:szCs w:val="24"/>
          </w:rPr>
        </w:pPr>
        <w:r w:rsidRPr="00DE0826">
          <w:rPr>
            <w:rFonts w:ascii="Times New Roman" w:hAnsi="Times New Roman" w:cs="Times New Roman"/>
            <w:sz w:val="24"/>
            <w:szCs w:val="24"/>
          </w:rPr>
          <w:fldChar w:fldCharType="begin"/>
        </w:r>
        <w:r w:rsidRPr="00DE0826">
          <w:rPr>
            <w:rFonts w:ascii="Times New Roman" w:hAnsi="Times New Roman" w:cs="Times New Roman"/>
            <w:sz w:val="24"/>
            <w:szCs w:val="24"/>
          </w:rPr>
          <w:instrText>PAGE   \* MERGEFORMAT</w:instrText>
        </w:r>
        <w:r w:rsidRPr="00DE0826">
          <w:rPr>
            <w:rFonts w:ascii="Times New Roman" w:hAnsi="Times New Roman" w:cs="Times New Roman"/>
            <w:sz w:val="24"/>
            <w:szCs w:val="24"/>
          </w:rPr>
          <w:fldChar w:fldCharType="separate"/>
        </w:r>
        <w:r w:rsidRPr="00DE0826">
          <w:rPr>
            <w:rFonts w:ascii="Times New Roman" w:hAnsi="Times New Roman" w:cs="Times New Roman"/>
            <w:sz w:val="24"/>
            <w:szCs w:val="24"/>
          </w:rPr>
          <w:t>2</w:t>
        </w:r>
        <w:r w:rsidRPr="00DE0826">
          <w:rPr>
            <w:rFonts w:ascii="Times New Roman" w:hAnsi="Times New Roman" w:cs="Times New Roman"/>
            <w:sz w:val="24"/>
            <w:szCs w:val="24"/>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imes New Roman" w:hAnsi="Times New Roman" w:cs="Times New Roman"/>
        <w:sz w:val="24"/>
        <w:szCs w:val="24"/>
      </w:rPr>
      <w:id w:val="1411423647"/>
      <w:docPartObj>
        <w:docPartGallery w:val="Page Numbers (Bottom of Page)"/>
        <w:docPartUnique/>
      </w:docPartObj>
    </w:sdtPr>
    <w:sdtEndPr/>
    <w:sdtContent>
      <w:p w14:paraId="73F8E13F" w14:textId="7AA3E10E" w:rsidR="00FD5ABB" w:rsidRPr="00DE0826" w:rsidRDefault="00FD5ABB" w:rsidP="00DE0826">
        <w:pPr>
          <w:pStyle w:val="af7"/>
          <w:jc w:val="right"/>
          <w:rPr>
            <w:rFonts w:ascii="Times New Roman" w:hAnsi="Times New Roman" w:cs="Times New Roman"/>
            <w:sz w:val="24"/>
            <w:szCs w:val="24"/>
          </w:rPr>
        </w:pPr>
        <w:r w:rsidRPr="00DE0826">
          <w:rPr>
            <w:rFonts w:ascii="Times New Roman" w:hAnsi="Times New Roman" w:cs="Times New Roman"/>
            <w:sz w:val="24"/>
            <w:szCs w:val="24"/>
          </w:rPr>
          <w:fldChar w:fldCharType="begin"/>
        </w:r>
        <w:r w:rsidRPr="00DE0826">
          <w:rPr>
            <w:rFonts w:ascii="Times New Roman" w:hAnsi="Times New Roman" w:cs="Times New Roman"/>
            <w:sz w:val="24"/>
            <w:szCs w:val="24"/>
          </w:rPr>
          <w:instrText>PAGE   \* MERGEFORMAT</w:instrText>
        </w:r>
        <w:r w:rsidRPr="00DE0826">
          <w:rPr>
            <w:rFonts w:ascii="Times New Roman" w:hAnsi="Times New Roman" w:cs="Times New Roman"/>
            <w:sz w:val="24"/>
            <w:szCs w:val="24"/>
          </w:rPr>
          <w:fldChar w:fldCharType="separate"/>
        </w:r>
        <w:r w:rsidRPr="00DE0826">
          <w:rPr>
            <w:rFonts w:ascii="Times New Roman" w:hAnsi="Times New Roman" w:cs="Times New Roman"/>
            <w:sz w:val="24"/>
            <w:szCs w:val="24"/>
          </w:rPr>
          <w:t>2</w:t>
        </w:r>
        <w:r w:rsidRPr="00DE0826">
          <w:rPr>
            <w:rFonts w:ascii="Times New Roman" w:hAnsi="Times New Roman" w:cs="Times New Roman"/>
            <w:sz w:val="24"/>
            <w:szCs w:val="24"/>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BC992EC" w14:textId="77777777" w:rsidR="00EE7838" w:rsidRDefault="00EE7838" w:rsidP="00D16144">
      <w:pPr>
        <w:spacing w:after="0" w:line="240" w:lineRule="auto"/>
      </w:pPr>
      <w:r>
        <w:separator/>
      </w:r>
    </w:p>
  </w:footnote>
  <w:footnote w:type="continuationSeparator" w:id="0">
    <w:p w14:paraId="66739854" w14:textId="77777777" w:rsidR="00EE7838" w:rsidRDefault="00EE7838" w:rsidP="00D16144">
      <w:pPr>
        <w:spacing w:after="0" w:line="240" w:lineRule="auto"/>
      </w:pPr>
      <w:r>
        <w:continuationSeparator/>
      </w:r>
    </w:p>
  </w:footnote>
  <w:footnote w:id="1">
    <w:p w14:paraId="774121D8"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i/>
        </w:rPr>
        <w:t>Глодина А.В.</w:t>
      </w:r>
      <w:r>
        <w:rPr>
          <w:rFonts w:ascii="Times New Roman" w:hAnsi="Times New Roman" w:cs="Times New Roman"/>
        </w:rPr>
        <w:t xml:space="preserve"> О понимании административного судопроизводства // Вестник ВГУ: Право. - 2016. - №2. - С.139.</w:t>
      </w:r>
    </w:p>
  </w:footnote>
  <w:footnote w:id="2">
    <w:p w14:paraId="18BC5BE6"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i/>
        </w:rPr>
        <w:t>Немцева В.Б.</w:t>
      </w:r>
      <w:r>
        <w:rPr>
          <w:rFonts w:ascii="Times New Roman" w:hAnsi="Times New Roman" w:cs="Times New Roman"/>
        </w:rPr>
        <w:t xml:space="preserve"> Некоторые проблемы соотношения гражданского и административного судопроизводства в судах общей юрисдикции // Вестник гражданского процесса. - 2016. - №1. - С.200. </w:t>
      </w:r>
    </w:p>
  </w:footnote>
  <w:footnote w:id="3">
    <w:p w14:paraId="0D1E46EC"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i/>
        </w:rPr>
        <w:t xml:space="preserve">Пешкова Т.В. </w:t>
      </w:r>
      <w:r>
        <w:rPr>
          <w:rFonts w:ascii="Times New Roman" w:hAnsi="Times New Roman" w:cs="Times New Roman"/>
        </w:rPr>
        <w:t xml:space="preserve">Административное судопроизводство в судах общей юрисдикции в Российской Федерации: диссертация.  - Воронеж: -ВГУ. - 2014. - С.72. </w:t>
      </w:r>
    </w:p>
  </w:footnote>
  <w:footnote w:id="4">
    <w:p w14:paraId="5D938055"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i/>
        </w:rPr>
        <w:t>Зеленская Л.А.</w:t>
      </w:r>
      <w:r>
        <w:rPr>
          <w:rFonts w:ascii="Times New Roman" w:hAnsi="Times New Roman" w:cs="Times New Roman"/>
        </w:rPr>
        <w:t xml:space="preserve"> К вопросу о понятии «заинтересованные лица» в гражданском и административном судопроизводстве // Право и практика. - 2019. - №4. - С.219-224.</w:t>
      </w:r>
    </w:p>
  </w:footnote>
  <w:footnote w:id="5">
    <w:p w14:paraId="7EAF2A58"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i/>
        </w:rPr>
        <w:t>Зеленская Л.А</w:t>
      </w:r>
      <w:r>
        <w:rPr>
          <w:rFonts w:ascii="Times New Roman" w:hAnsi="Times New Roman" w:cs="Times New Roman"/>
        </w:rPr>
        <w:t>. Разрешение вопроса о составе лиц, участвующих в деле в гражданском судопроизводстве // Политематический сетевой электронный научный журнал Кубанского государственного аграрного университета. - 2016. - №120. - С.857-869.</w:t>
      </w:r>
    </w:p>
  </w:footnote>
  <w:footnote w:id="6">
    <w:p w14:paraId="20F880A2"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i/>
        </w:rPr>
        <w:t>Федина А.С</w:t>
      </w:r>
      <w:r>
        <w:rPr>
          <w:rFonts w:ascii="Times New Roman" w:hAnsi="Times New Roman" w:cs="Times New Roman"/>
        </w:rPr>
        <w:t>. Принципы административного судопроизводства // Вестник ТвГУ. - 2015. - №3. - С.133.</w:t>
      </w:r>
    </w:p>
  </w:footnote>
  <w:footnote w:id="7">
    <w:p w14:paraId="786B9AB1"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i/>
        </w:rPr>
        <w:t>Степанян Ш.У.</w:t>
      </w:r>
      <w:r>
        <w:rPr>
          <w:rFonts w:ascii="Times New Roman" w:hAnsi="Times New Roman" w:cs="Times New Roman"/>
        </w:rPr>
        <w:t xml:space="preserve"> Особенности административного судопроизводства как самостоятельной формы осуществления судебной власти // Российский судья. - 2015. - № 11.  - С.46.</w:t>
      </w:r>
    </w:p>
  </w:footnote>
  <w:footnote w:id="8">
    <w:p w14:paraId="531A8251"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Покровский И. А. Основные проблемы гражданского права. М., 1998. С. 121</w:t>
      </w:r>
    </w:p>
  </w:footnote>
  <w:footnote w:id="9">
    <w:p w14:paraId="3B064DBE"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Гражданский кодекс Российской Федерации (часть первая) от 30.11.1994 N 51-ФЗ (ред. от 16.12.2019) // Справочно-правовая система «Консультант Плюс»: [Электронный ресурс]</w:t>
      </w:r>
    </w:p>
  </w:footnote>
  <w:footnote w:id="10">
    <w:p w14:paraId="7BE15693"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Гражданский кодекс Российской Федерации (часть первая) от 30.11.1994 N 51-ФЗ (ред. от 16.12.2019) // Справочно-правовая система «Консультант Плюс»: [Электронный ресурс]</w:t>
      </w:r>
    </w:p>
  </w:footnote>
  <w:footnote w:id="11">
    <w:p w14:paraId="0EC33C77"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Гражданское право: Учебник: В 3 т. Т. 1. 6-е изд., перераб. и доп. / Под ред. А. П. Сергеева, Ю. К. Толстого. М.: ТК "Велби"; Проспект, 2003. С. 379 - 380.</w:t>
      </w:r>
    </w:p>
  </w:footnote>
  <w:footnote w:id="12">
    <w:p w14:paraId="72F36CD5"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Бакаева И.В. Понятие и признаки нематериальных благ: законодательство, теория и практика // Законы России: опыт, анализ, практика. 2012. N 4.</w:t>
      </w:r>
    </w:p>
  </w:footnote>
  <w:footnote w:id="13">
    <w:p w14:paraId="7FA30BC7"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Гражданский кодекс Российской Федерации (часть первая) от 30.11.1994 N 51-ФЗ (ред. от 16.12.2019) // Справочно-правовая система «Консультант Плюс»: [Электронный ресурс]</w:t>
      </w:r>
    </w:p>
  </w:footnote>
  <w:footnote w:id="14">
    <w:p w14:paraId="2D07E0C8"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Гражданское право Т. 1 : учебник : в 3 т. / Е. Н. Абрамова, Н. Н. Аверченко, Ю. В. Байгушева и др. ; под ред. А. П. Сергеева. М. : Велби, 2010. </w:t>
      </w:r>
    </w:p>
  </w:footnote>
  <w:footnote w:id="15">
    <w:p w14:paraId="22472C81"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Гражданское право: учебник / под ред. А.П. Сергеева, Ю.К. Толстого. Т. 1. 6-е изд. М., 2002. С. 378</w:t>
      </w:r>
    </w:p>
  </w:footnote>
  <w:footnote w:id="16">
    <w:p w14:paraId="1F830E28"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Малеина М.Н. Понятие и виды нематериальных благ как объектов личных неимущественных прав // Государство и право", 2014, N 7// СПС "КонсультантПлюс.</w:t>
      </w:r>
    </w:p>
  </w:footnote>
  <w:footnote w:id="17">
    <w:p w14:paraId="01C2DE57"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Стоякин Г.Н. Понятие «защита гражданских прав» // Проблемы гражданско-правовой ответственности защиты гражданских прав. Свердловск, 1973. С. 30-35. </w:t>
      </w:r>
    </w:p>
  </w:footnote>
  <w:footnote w:id="18">
    <w:p w14:paraId="2BD85FDC"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Тархов В.А. Гражданское право. Чебоксары, 1997. С. 259-260.</w:t>
      </w:r>
    </w:p>
  </w:footnote>
  <w:footnote w:id="19">
    <w:p w14:paraId="26E253DE"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Гражданский кодекс Российской Федерации (часть первая) от 30.11.1994 N 51-ФЗ (ред. от 16.12.2019) // Справочно-правовая система «Консультант Плюс»: [Электронный ресурс]</w:t>
      </w:r>
    </w:p>
  </w:footnote>
  <w:footnote w:id="20">
    <w:p w14:paraId="53B82711"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Гражданский кодекс Российской Федерации (часть первая) от 30.11.1994 N 51-ФЗ (ред. от 16.12.2019) // Справочно-правовая система «Консультант Плюс»: [Электронный ресурс]</w:t>
      </w:r>
    </w:p>
  </w:footnote>
  <w:footnote w:id="21">
    <w:p w14:paraId="5ABF9296"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Гражданский кодекс Российской Федерации (часть первая) от 30.11.1994 N 51-ФЗ (ред. от 16.12.2019) // Справочно-правовая система «Консультант Плюс»: [Электронный ресурс]</w:t>
      </w:r>
    </w:p>
  </w:footnote>
  <w:footnote w:id="22">
    <w:p w14:paraId="0267756A"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Гражданский кодекс Российской Федерации (часть первая) от 30.11.1994 N 51-ФЗ (ред. от 16.12.2019) // Справочно-правовая система «Консультант Плюс»: [Электронный ресурс]</w:t>
      </w:r>
    </w:p>
    <w:p w14:paraId="56100CB8"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p>
  </w:footnote>
  <w:footnote w:id="23">
    <w:p w14:paraId="40C4C4F0"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Источник: </w:t>
      </w:r>
      <w:hyperlink r:id="rId1" w:tooltip="Ст. 151 ГК РФ с Комментарием 2020: последние изменения и поправки, судебная практика" w:history="1">
        <w:r>
          <w:rPr>
            <w:rStyle w:val="a9"/>
            <w:rFonts w:ascii="Times New Roman" w:hAnsi="Times New Roman" w:cs="Times New Roman"/>
          </w:rPr>
          <w:t>http://grazhkod.ru/chast-pervaya/razdel-1/podrazdel-3/glava-8/statya-151-gk-rf</w:t>
        </w:r>
      </w:hyperlink>
    </w:p>
  </w:footnote>
  <w:footnote w:id="24">
    <w:p w14:paraId="57C410B7"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Боннер А. Можно ли причинить моральный вред юридическому лицу? // Российская юстиция. 1996. № 6 С. 44.</w:t>
      </w:r>
    </w:p>
  </w:footnote>
  <w:footnote w:id="25">
    <w:p w14:paraId="17C21B0B"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Тархов В.А. Гражданское право. Общая часть С. 207.</w:t>
      </w:r>
    </w:p>
  </w:footnote>
  <w:footnote w:id="26">
    <w:p w14:paraId="0C943151"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0"/>
          <w:szCs w:val="20"/>
        </w:rPr>
      </w:pPr>
      <w:r>
        <w:rPr>
          <w:rStyle w:val="a7"/>
          <w:rFonts w:ascii="Times New Roman" w:hAnsi="Times New Roman" w:cs="Times New Roman"/>
          <w:sz w:val="20"/>
          <w:szCs w:val="20"/>
        </w:rPr>
        <w:footnoteRef/>
      </w:r>
      <w:r>
        <w:rPr>
          <w:rFonts w:ascii="Times New Roman" w:hAnsi="Times New Roman" w:cs="Times New Roman"/>
          <w:sz w:val="20"/>
          <w:szCs w:val="20"/>
        </w:rPr>
        <w:t xml:space="preserve"> Зеленская Л.А. </w:t>
      </w:r>
      <w:r>
        <w:rPr>
          <w:rFonts w:ascii="Times New Roman" w:hAnsi="Times New Roman" w:cs="Times New Roman"/>
          <w:sz w:val="20"/>
          <w:szCs w:val="20"/>
          <w:shd w:val="clear" w:color="auto" w:fill="FFFFFF"/>
        </w:rPr>
        <w:t>Институт приобретательной давности в гражданском праве. Краснодар. 2004. С. 6.</w:t>
      </w:r>
    </w:p>
  </w:footnote>
  <w:footnote w:id="27">
    <w:p w14:paraId="2C34AC5F"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Словарь русского языка. Т. 1. Изд. 3-е / Гл. ред. А.П.Евгеньева. М.: Изд. «Русский язык». 1998. С. 362.</w:t>
      </w:r>
    </w:p>
  </w:footnote>
  <w:footnote w:id="28">
    <w:p w14:paraId="7BC577F9"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Фаршатов И.А. Исковая давность. Законодательство: теория и практика. – М. Издательский дом Городец. 2004. С. 34.</w:t>
      </w:r>
    </w:p>
  </w:footnote>
  <w:footnote w:id="29">
    <w:p w14:paraId="619885E3" w14:textId="77777777" w:rsidR="00FD5ABB" w:rsidRDefault="00FD5ABB" w:rsidP="001B6C3B">
      <w:pPr>
        <w:shd w:val="clear" w:color="auto" w:fill="FFFFFF"/>
        <w:tabs>
          <w:tab w:val="left" w:pos="9072"/>
        </w:tabs>
        <w:spacing w:after="0" w:line="240" w:lineRule="auto"/>
        <w:jc w:val="both"/>
        <w:rPr>
          <w:rFonts w:ascii="Times New Roman" w:eastAsia="Times New Roman" w:hAnsi="Times New Roman" w:cs="Times New Roman"/>
          <w:sz w:val="20"/>
          <w:szCs w:val="20"/>
        </w:rPr>
      </w:pPr>
      <w:r>
        <w:rPr>
          <w:rStyle w:val="a7"/>
          <w:rFonts w:ascii="Times New Roman" w:hAnsi="Times New Roman" w:cs="Times New Roman"/>
          <w:sz w:val="20"/>
          <w:szCs w:val="20"/>
        </w:rPr>
        <w:footnoteRef/>
      </w:r>
      <w:r>
        <w:rPr>
          <w:rFonts w:ascii="Times New Roman" w:hAnsi="Times New Roman" w:cs="Times New Roman"/>
          <w:sz w:val="20"/>
          <w:szCs w:val="20"/>
        </w:rPr>
        <w:t xml:space="preserve"> </w:t>
      </w:r>
      <w:r>
        <w:rPr>
          <w:rFonts w:ascii="Times New Roman" w:eastAsia="Times New Roman" w:hAnsi="Times New Roman" w:cs="Times New Roman"/>
          <w:sz w:val="20"/>
          <w:szCs w:val="20"/>
        </w:rPr>
        <w:t>Синайский В.И. Русское гражданское право. Общая часть. (по изд. 1912) [Текст].- М. Статут. 2002. - С. 198 - 199.</w:t>
      </w:r>
    </w:p>
  </w:footnote>
  <w:footnote w:id="30">
    <w:p w14:paraId="33554E2D" w14:textId="77777777" w:rsidR="00FD5ABB" w:rsidRDefault="00FD5ABB" w:rsidP="001B6C3B">
      <w:pPr>
        <w:pStyle w:val="a5"/>
        <w:tabs>
          <w:tab w:val="left" w:pos="9072"/>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eastAsia="Times New Roman" w:hAnsi="Times New Roman" w:cs="Times New Roman"/>
        </w:rPr>
        <w:t>Шершеневич Г.Ф. Учебник русского гражданского права. Изд. 10. (по изд. 1911) [Текст] - М. Статут. 2001. - С. 190.</w:t>
      </w:r>
    </w:p>
  </w:footnote>
  <w:footnote w:id="31">
    <w:p w14:paraId="6AA4DFB9"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eastAsia="Times New Roman" w:hAnsi="Times New Roman" w:cs="Times New Roman"/>
        </w:rPr>
        <w:t>Советское гражданское право [Текст]: Учебник. / Под ред. Куника Я.А., Язева В.А.- М. Юридическая литература. 1983. - С. 93.</w:t>
      </w:r>
    </w:p>
  </w:footnote>
  <w:footnote w:id="32">
    <w:p w14:paraId="0854E774" w14:textId="77777777" w:rsidR="00FD5ABB" w:rsidRPr="002E70F6" w:rsidRDefault="00FD5ABB" w:rsidP="00D23E5C">
      <w:pPr>
        <w:pStyle w:val="a5"/>
        <w:jc w:val="both"/>
        <w:rPr>
          <w:rFonts w:ascii="Times New Roman" w:hAnsi="Times New Roman" w:cs="Times New Roman"/>
        </w:rPr>
      </w:pPr>
      <w:r w:rsidRPr="002E70F6">
        <w:rPr>
          <w:rStyle w:val="a7"/>
          <w:rFonts w:ascii="Times New Roman" w:hAnsi="Times New Roman" w:cs="Times New Roman"/>
        </w:rPr>
        <w:footnoteRef/>
      </w:r>
      <w:r w:rsidRPr="002E70F6">
        <w:rPr>
          <w:rFonts w:ascii="Times New Roman" w:hAnsi="Times New Roman" w:cs="Times New Roman"/>
        </w:rPr>
        <w:t xml:space="preserve"> О внесении изменений в Гражданский кодекс Российской Федерации, отдельные законодательные акты Российской Федерации и о признании утратившими силу отдельных законодательных актов (положений законодательных актов) Российской Федерации : Проект Федерального закона № 47538-6. - Доступ из справ.-правовой системы «Гарант».</w:t>
      </w:r>
    </w:p>
  </w:footnote>
  <w:footnote w:id="33">
    <w:p w14:paraId="3C4012D3" w14:textId="77777777" w:rsidR="00FD5ABB" w:rsidRPr="00840859" w:rsidRDefault="00FD5ABB" w:rsidP="00D23E5C">
      <w:pPr>
        <w:pStyle w:val="a5"/>
        <w:jc w:val="both"/>
        <w:rPr>
          <w:rFonts w:ascii="Times New Roman" w:hAnsi="Times New Roman" w:cs="Times New Roman"/>
          <w:sz w:val="24"/>
          <w:szCs w:val="24"/>
        </w:rPr>
      </w:pPr>
      <w:r w:rsidRPr="002E70F6">
        <w:rPr>
          <w:rStyle w:val="a7"/>
          <w:rFonts w:ascii="Times New Roman" w:hAnsi="Times New Roman" w:cs="Times New Roman"/>
        </w:rPr>
        <w:footnoteRef/>
      </w:r>
      <w:r w:rsidRPr="002E70F6">
        <w:rPr>
          <w:rFonts w:ascii="Times New Roman" w:hAnsi="Times New Roman" w:cs="Times New Roman"/>
        </w:rPr>
        <w:t xml:space="preserve"> </w:t>
      </w:r>
      <w:r w:rsidRPr="00630A52">
        <w:rPr>
          <w:rFonts w:ascii="Times New Roman" w:hAnsi="Times New Roman" w:cs="Times New Roman"/>
          <w:i/>
        </w:rPr>
        <w:t>Емелькина И. А.</w:t>
      </w:r>
      <w:r w:rsidRPr="002E70F6">
        <w:rPr>
          <w:rFonts w:ascii="Times New Roman" w:hAnsi="Times New Roman" w:cs="Times New Roman"/>
        </w:rPr>
        <w:t xml:space="preserve"> К дискуссии о разграничении вещных и обязательственных прав // Нотариус. - 2016. - № 1. - С. 17-19.</w:t>
      </w:r>
    </w:p>
  </w:footnote>
  <w:footnote w:id="34">
    <w:p w14:paraId="011EFFA6" w14:textId="77777777" w:rsidR="00FD5ABB" w:rsidRPr="002E70F6" w:rsidRDefault="00FD5ABB" w:rsidP="00D23E5C">
      <w:pPr>
        <w:pStyle w:val="a5"/>
        <w:spacing w:line="276" w:lineRule="auto"/>
        <w:jc w:val="both"/>
        <w:rPr>
          <w:rFonts w:ascii="Times New Roman" w:hAnsi="Times New Roman" w:cs="Times New Roman"/>
        </w:rPr>
      </w:pPr>
      <w:r w:rsidRPr="002E70F6">
        <w:rPr>
          <w:rStyle w:val="a7"/>
          <w:rFonts w:ascii="Times New Roman" w:hAnsi="Times New Roman" w:cs="Times New Roman"/>
        </w:rPr>
        <w:footnoteRef/>
      </w:r>
      <w:r w:rsidRPr="002E70F6">
        <w:rPr>
          <w:rFonts w:ascii="Times New Roman" w:hAnsi="Times New Roman" w:cs="Times New Roman"/>
        </w:rPr>
        <w:t xml:space="preserve"> </w:t>
      </w:r>
      <w:r w:rsidRPr="00630A52">
        <w:rPr>
          <w:rFonts w:ascii="Times New Roman" w:hAnsi="Times New Roman" w:cs="Times New Roman"/>
          <w:i/>
        </w:rPr>
        <w:t>Камышанский В. П.</w:t>
      </w:r>
      <w:r w:rsidRPr="002E70F6">
        <w:rPr>
          <w:rFonts w:ascii="Times New Roman" w:hAnsi="Times New Roman" w:cs="Times New Roman"/>
        </w:rPr>
        <w:t xml:space="preserve"> Пределы и </w:t>
      </w:r>
      <w:r>
        <w:rPr>
          <w:rFonts w:ascii="Times New Roman" w:hAnsi="Times New Roman" w:cs="Times New Roman"/>
        </w:rPr>
        <w:t>ограничения права собственности</w:t>
      </w:r>
      <w:r w:rsidRPr="002E70F6">
        <w:rPr>
          <w:rFonts w:ascii="Times New Roman" w:hAnsi="Times New Roman" w:cs="Times New Roman"/>
        </w:rPr>
        <w:t>: монография. - Волгоград : Волгоград. юрид. ин-т МВД России, 2000. - С. 118.</w:t>
      </w:r>
    </w:p>
  </w:footnote>
  <w:footnote w:id="35">
    <w:p w14:paraId="1CDAA18F" w14:textId="77777777" w:rsidR="00FD5ABB" w:rsidRPr="00DB70BD" w:rsidRDefault="00FD5ABB" w:rsidP="00575A86">
      <w:pPr>
        <w:jc w:val="both"/>
        <w:rPr>
          <w:rFonts w:ascii="Times New Roman" w:eastAsia="Times New Roman" w:hAnsi="Times New Roman" w:cs="Times New Roman"/>
          <w:lang w:eastAsia="ru-RU"/>
        </w:rPr>
      </w:pPr>
      <w:r w:rsidRPr="00DB70BD">
        <w:rPr>
          <w:rStyle w:val="a7"/>
          <w:rFonts w:ascii="Times New Roman" w:hAnsi="Times New Roman" w:cs="Times New Roman"/>
        </w:rPr>
        <w:footnoteRef/>
      </w:r>
      <w:r w:rsidRPr="00DB70BD">
        <w:rPr>
          <w:rFonts w:ascii="Times New Roman" w:hAnsi="Times New Roman" w:cs="Times New Roman"/>
        </w:rPr>
        <w:t xml:space="preserve"> </w:t>
      </w:r>
      <w:r w:rsidRPr="00DB70BD">
        <w:rPr>
          <w:rFonts w:ascii="Times New Roman" w:eastAsia="Times New Roman" w:hAnsi="Times New Roman" w:cs="Times New Roman"/>
          <w:color w:val="000000"/>
          <w:lang w:eastAsia="ru-RU"/>
        </w:rPr>
        <w:t>О лицензировании отдельных видов деятельности / Федеральный закон от 04.05.2011г. № 99-ФЗ (ред. 14.10.2014г.) // СЗ РФ 09.05.2011. № 19. Ст. 2716.</w:t>
      </w:r>
    </w:p>
  </w:footnote>
  <w:footnote w:id="36">
    <w:p w14:paraId="0A74AD30" w14:textId="77777777" w:rsidR="00FD5ABB" w:rsidRPr="00DB70BD" w:rsidRDefault="00FD5ABB" w:rsidP="00575A86">
      <w:pPr>
        <w:pStyle w:val="a5"/>
        <w:jc w:val="both"/>
        <w:rPr>
          <w:rFonts w:ascii="Times New Roman" w:hAnsi="Times New Roman" w:cs="Times New Roman"/>
          <w:sz w:val="24"/>
          <w:szCs w:val="24"/>
        </w:rPr>
      </w:pPr>
      <w:r w:rsidRPr="00DB70BD">
        <w:rPr>
          <w:rStyle w:val="a7"/>
          <w:rFonts w:ascii="Times New Roman" w:hAnsi="Times New Roman" w:cs="Times New Roman"/>
          <w:sz w:val="24"/>
          <w:szCs w:val="24"/>
        </w:rPr>
        <w:footnoteRef/>
      </w:r>
      <w:r w:rsidRPr="00DB70BD">
        <w:rPr>
          <w:rFonts w:ascii="Times New Roman" w:hAnsi="Times New Roman" w:cs="Times New Roman"/>
          <w:sz w:val="24"/>
          <w:szCs w:val="24"/>
        </w:rPr>
        <w:t xml:space="preserve"> Масленникова Л.В., Копыл Ю.В. Лицензирование деятельности управляющих организаций / Л.В. Масленникова, Ю.В. Копыл// Научный журнал КубГАУ. - 2015. - No 107(03).</w:t>
      </w:r>
    </w:p>
  </w:footnote>
  <w:footnote w:id="37">
    <w:p w14:paraId="3924D3CB" w14:textId="77777777" w:rsidR="00FD5ABB" w:rsidRPr="00DB70BD" w:rsidRDefault="00FD5ABB" w:rsidP="00575A86">
      <w:pPr>
        <w:pStyle w:val="a5"/>
        <w:jc w:val="both"/>
        <w:rPr>
          <w:rFonts w:ascii="Times New Roman" w:hAnsi="Times New Roman" w:cs="Times New Roman"/>
          <w:sz w:val="24"/>
          <w:szCs w:val="24"/>
        </w:rPr>
      </w:pPr>
      <w:r w:rsidRPr="00DB70BD">
        <w:rPr>
          <w:rStyle w:val="a7"/>
          <w:rFonts w:ascii="Times New Roman" w:hAnsi="Times New Roman" w:cs="Times New Roman"/>
          <w:sz w:val="24"/>
          <w:szCs w:val="24"/>
        </w:rPr>
        <w:footnoteRef/>
      </w:r>
      <w:r w:rsidRPr="00DB70BD">
        <w:rPr>
          <w:rFonts w:ascii="Times New Roman" w:hAnsi="Times New Roman" w:cs="Times New Roman"/>
          <w:sz w:val="24"/>
          <w:szCs w:val="24"/>
        </w:rPr>
        <w:t xml:space="preserve"> </w:t>
      </w:r>
      <w:r w:rsidRPr="00DB70BD">
        <w:rPr>
          <w:rFonts w:ascii="Times New Roman" w:hAnsi="Times New Roman" w:cs="Times New Roman"/>
          <w:color w:val="333333"/>
          <w:sz w:val="24"/>
          <w:szCs w:val="24"/>
        </w:rPr>
        <w:t>Жилищный кодекс Российской Федерации от 29.12.2004 No 188-ФЗ (ред. от 29.12.2014) // СЗ РФ</w:t>
      </w:r>
      <w:r w:rsidRPr="00DB70BD">
        <w:rPr>
          <w:rFonts w:ascii="Times New Roman" w:hAnsi="Times New Roman" w:cs="Times New Roman"/>
          <w:color w:val="333333"/>
          <w:sz w:val="24"/>
          <w:szCs w:val="24"/>
          <w:lang w:val="pt-PT"/>
        </w:rPr>
        <w:t>. 03.01.2005. No 1 (</w:t>
      </w:r>
      <w:r w:rsidRPr="00DB70BD">
        <w:rPr>
          <w:rFonts w:ascii="Times New Roman" w:hAnsi="Times New Roman" w:cs="Times New Roman"/>
          <w:color w:val="333333"/>
          <w:sz w:val="24"/>
          <w:szCs w:val="24"/>
        </w:rPr>
        <w:t>часть 1). Ст. 14.</w:t>
      </w:r>
    </w:p>
  </w:footnote>
  <w:footnote w:id="38">
    <w:p w14:paraId="54DDE5EA" w14:textId="77777777" w:rsidR="00FD5ABB" w:rsidRPr="00BE13EE" w:rsidRDefault="00FD5ABB" w:rsidP="00575A86">
      <w:pPr>
        <w:jc w:val="both"/>
        <w:rPr>
          <w:rFonts w:ascii="Times New Roman" w:eastAsia="Times New Roman" w:hAnsi="Times New Roman" w:cs="Times New Roman"/>
          <w:lang w:eastAsia="ru-RU"/>
        </w:rPr>
      </w:pPr>
      <w:r w:rsidRPr="00BE13EE">
        <w:rPr>
          <w:rStyle w:val="a7"/>
          <w:rFonts w:ascii="Times New Roman" w:hAnsi="Times New Roman" w:cs="Times New Roman"/>
        </w:rPr>
        <w:footnoteRef/>
      </w:r>
      <w:r w:rsidRPr="00BE13EE">
        <w:rPr>
          <w:rFonts w:ascii="Times New Roman" w:hAnsi="Times New Roman" w:cs="Times New Roman"/>
        </w:rPr>
        <w:t xml:space="preserve"> </w:t>
      </w:r>
      <w:r w:rsidRPr="00BC4238">
        <w:rPr>
          <w:rFonts w:ascii="Times New Roman" w:eastAsia="Times New Roman" w:hAnsi="Times New Roman" w:cs="Times New Roman"/>
          <w:i/>
          <w:color w:val="000000"/>
          <w:shd w:val="clear" w:color="auto" w:fill="FFFFFF"/>
          <w:lang w:eastAsia="ru-RU"/>
        </w:rPr>
        <w:t>Генцлер, И.В.</w:t>
      </w:r>
      <w:r w:rsidRPr="00BE13EE">
        <w:rPr>
          <w:rFonts w:ascii="Times New Roman" w:eastAsia="Times New Roman" w:hAnsi="Times New Roman" w:cs="Times New Roman"/>
          <w:color w:val="000000"/>
          <w:shd w:val="clear" w:color="auto" w:fill="FFFFFF"/>
          <w:lang w:eastAsia="ru-RU"/>
        </w:rPr>
        <w:t xml:space="preserve"> Решит ли лицензирование проблемы управления многоквартирными домами / И.В. Генцлер, Д.П. Гордеев, С.Б. Сиваев // Управление многоквартирным домом. 2014. - №4.</w:t>
      </w:r>
    </w:p>
    <w:p w14:paraId="5FCA33AC" w14:textId="77777777" w:rsidR="00FD5ABB" w:rsidRDefault="00FD5ABB" w:rsidP="00575A86">
      <w:pPr>
        <w:pStyle w:val="a5"/>
      </w:pPr>
    </w:p>
  </w:footnote>
  <w:footnote w:id="39">
    <w:p w14:paraId="6B2D3C60" w14:textId="77777777" w:rsidR="00FD5ABB" w:rsidRDefault="00FD5ABB" w:rsidP="00575A86">
      <w:pPr>
        <w:jc w:val="both"/>
      </w:pPr>
      <w:r w:rsidRPr="00BE13EE">
        <w:rPr>
          <w:rStyle w:val="a7"/>
          <w:rFonts w:ascii="Times New Roman" w:hAnsi="Times New Roman" w:cs="Times New Roman"/>
        </w:rPr>
        <w:footnoteRef/>
      </w:r>
      <w:r w:rsidRPr="00BE13EE">
        <w:rPr>
          <w:rFonts w:ascii="Times New Roman" w:hAnsi="Times New Roman" w:cs="Times New Roman"/>
        </w:rPr>
        <w:t xml:space="preserve"> </w:t>
      </w:r>
      <w:r w:rsidRPr="00BC4238">
        <w:rPr>
          <w:rFonts w:ascii="Times New Roman" w:eastAsia="Times New Roman" w:hAnsi="Times New Roman" w:cs="Times New Roman"/>
          <w:i/>
          <w:color w:val="000000"/>
          <w:shd w:val="clear" w:color="auto" w:fill="FFFFFF"/>
          <w:lang w:eastAsia="ru-RU"/>
        </w:rPr>
        <w:t>Емельянова Е. В.</w:t>
      </w:r>
      <w:r w:rsidRPr="00BE13EE">
        <w:rPr>
          <w:rFonts w:ascii="Times New Roman" w:eastAsia="Times New Roman" w:hAnsi="Times New Roman" w:cs="Times New Roman"/>
          <w:color w:val="000000"/>
          <w:shd w:val="clear" w:color="auto" w:fill="FFFFFF"/>
          <w:lang w:eastAsia="ru-RU"/>
        </w:rPr>
        <w:t xml:space="preserve"> Поправки к ЖК РФ: лицензирование деятельности УК // Жилищно-коммунальное хозяйство: бухгалтерский учет и налогообложение. - 2014. - № 8</w:t>
      </w:r>
      <w:r>
        <w:rPr>
          <w:rFonts w:ascii="Times New Roman" w:eastAsia="Times New Roman" w:hAnsi="Times New Roman" w:cs="Times New Roman"/>
          <w:color w:val="000000"/>
          <w:shd w:val="clear" w:color="auto" w:fill="FFFFFF"/>
          <w:lang w:eastAsia="ru-RU"/>
        </w:rPr>
        <w:t>.</w:t>
      </w:r>
    </w:p>
  </w:footnote>
  <w:footnote w:id="40">
    <w:p w14:paraId="4172287C" w14:textId="77777777" w:rsidR="00FD5ABB" w:rsidRPr="00BE13EE" w:rsidRDefault="00FD5ABB" w:rsidP="00575A86">
      <w:pPr>
        <w:jc w:val="both"/>
        <w:rPr>
          <w:rFonts w:ascii="Times New Roman" w:eastAsia="Times New Roman" w:hAnsi="Times New Roman" w:cs="Times New Roman"/>
          <w:lang w:eastAsia="ru-RU"/>
        </w:rPr>
      </w:pPr>
      <w:r w:rsidRPr="00BE13EE">
        <w:rPr>
          <w:rStyle w:val="a7"/>
          <w:rFonts w:ascii="Times New Roman" w:hAnsi="Times New Roman" w:cs="Times New Roman"/>
        </w:rPr>
        <w:footnoteRef/>
      </w:r>
      <w:r w:rsidRPr="00BE13EE">
        <w:rPr>
          <w:rFonts w:ascii="Times New Roman" w:hAnsi="Times New Roman" w:cs="Times New Roman"/>
        </w:rPr>
        <w:t xml:space="preserve"> </w:t>
      </w:r>
      <w:r w:rsidRPr="00BC4238">
        <w:rPr>
          <w:rFonts w:ascii="Times New Roman" w:eastAsia="Times New Roman" w:hAnsi="Times New Roman" w:cs="Times New Roman"/>
          <w:i/>
          <w:color w:val="000000"/>
          <w:shd w:val="clear" w:color="auto" w:fill="FFFFFF"/>
          <w:lang w:eastAsia="ru-RU"/>
        </w:rPr>
        <w:t>Маслей С. В.</w:t>
      </w:r>
      <w:r w:rsidRPr="00BE13EE">
        <w:rPr>
          <w:rFonts w:ascii="Times New Roman" w:eastAsia="Times New Roman" w:hAnsi="Times New Roman" w:cs="Times New Roman"/>
          <w:color w:val="000000"/>
          <w:shd w:val="clear" w:color="auto" w:fill="FFFFFF"/>
          <w:lang w:eastAsia="ru-RU"/>
        </w:rPr>
        <w:t xml:space="preserve"> Лицензирование деятельности по управлению многоквартирными домами как форма государственного контроля за деятельностью управляющих организаций // Вестник ОмГУ. Серия. Право. 2015. №2 (43)</w:t>
      </w:r>
      <w:r>
        <w:rPr>
          <w:rFonts w:ascii="Times New Roman" w:eastAsia="Times New Roman" w:hAnsi="Times New Roman" w:cs="Times New Roman"/>
          <w:color w:val="000000"/>
          <w:shd w:val="clear" w:color="auto" w:fill="FFFFFF"/>
          <w:lang w:eastAsia="ru-RU"/>
        </w:rPr>
        <w:t>.</w:t>
      </w:r>
    </w:p>
    <w:p w14:paraId="5387EF64" w14:textId="77777777" w:rsidR="00FD5ABB" w:rsidRDefault="00FD5ABB" w:rsidP="00575A86">
      <w:pPr>
        <w:pStyle w:val="a5"/>
      </w:pPr>
    </w:p>
  </w:footnote>
  <w:footnote w:id="41">
    <w:p w14:paraId="4A4652EC"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eastAsia="Times New Roman" w:hAnsi="Times New Roman" w:cs="Times New Roman"/>
          <w:lang w:eastAsia="ru-RU"/>
        </w:rPr>
        <w:t>Сергеев А.П., Толстой Ю.К. Учебник. Гражданское право. Ч. 1. – М.: Проспект, 1997. – С. 172.</w:t>
      </w:r>
    </w:p>
  </w:footnote>
  <w:footnote w:id="42">
    <w:p w14:paraId="06E815CF"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eastAsia="Times New Roman" w:hAnsi="Times New Roman" w:cs="Times New Roman"/>
          <w:lang w:eastAsia="ru-RU"/>
        </w:rPr>
        <w:t>Пушкин А.А. Советское государство как субъект советского граждан- ского права. – Харьков, 1965. – С. 12.</w:t>
      </w:r>
    </w:p>
  </w:footnote>
  <w:footnote w:id="43">
    <w:p w14:paraId="10995329"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eastAsia="Times New Roman" w:hAnsi="Times New Roman" w:cs="Times New Roman"/>
          <w:lang w:eastAsia="ru-RU"/>
        </w:rPr>
        <w:t>Шенгелия Р.В. Гражданская правосубъектность Советского государ- ства в кредитных отношениях. – Тбилиси, 1984. – С. 18.</w:t>
      </w:r>
    </w:p>
  </w:footnote>
  <w:footnote w:id="44">
    <w:p w14:paraId="6517FEC5"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0"/>
          <w:szCs w:val="20"/>
          <w:lang w:eastAsia="ru-RU"/>
        </w:rPr>
      </w:pPr>
      <w:r>
        <w:rPr>
          <w:rStyle w:val="a7"/>
          <w:rFonts w:ascii="Times New Roman" w:hAnsi="Times New Roman" w:cs="Times New Roman"/>
          <w:sz w:val="20"/>
          <w:szCs w:val="20"/>
        </w:rPr>
        <w:footnoteRef/>
      </w:r>
      <w:r>
        <w:rPr>
          <w:rFonts w:ascii="Times New Roman" w:hAnsi="Times New Roman" w:cs="Times New Roman"/>
          <w:sz w:val="20"/>
          <w:szCs w:val="20"/>
        </w:rPr>
        <w:t xml:space="preserve"> </w:t>
      </w:r>
      <w:r>
        <w:rPr>
          <w:rFonts w:ascii="Times New Roman" w:eastAsia="Times New Roman" w:hAnsi="Times New Roman" w:cs="Times New Roman"/>
          <w:sz w:val="20"/>
          <w:szCs w:val="20"/>
          <w:lang w:eastAsia="ru-RU"/>
        </w:rPr>
        <w:t xml:space="preserve">Инжиева Б.Б. Специальная правоспособность государства в лице ка- зенных учреждений // Пробелы в Российском законодательстве. – 2012. – No 2. – С. 110-113. </w:t>
      </w:r>
    </w:p>
  </w:footnote>
  <w:footnote w:id="45">
    <w:p w14:paraId="6495B237"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eastAsia="Times New Roman" w:hAnsi="Times New Roman" w:cs="Times New Roman"/>
          <w:lang w:eastAsia="ru-RU"/>
        </w:rPr>
        <w:t>Васильева Е.Н. Гражданская правоспособность государства // Субъ- екты гражданского права. – М., 2003. – С. 54-55.</w:t>
      </w:r>
    </w:p>
  </w:footnote>
  <w:footnote w:id="46">
    <w:p w14:paraId="5DE2E256"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eastAsia="Times New Roman" w:hAnsi="Times New Roman" w:cs="Times New Roman"/>
          <w:lang w:eastAsia="ru-RU"/>
        </w:rPr>
        <w:t>Михайлов С.В. Категория интереса в российском гражданском праве. – М.: «Статут», 2002. – С. 26.</w:t>
      </w:r>
    </w:p>
  </w:footnote>
  <w:footnote w:id="47">
    <w:p w14:paraId="6411EED5"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eastAsia="Times New Roman" w:hAnsi="Times New Roman" w:cs="Times New Roman"/>
          <w:lang w:eastAsia="ru-RU"/>
        </w:rPr>
        <w:t>Клячин А.А. Государственный и общественный интерес в частном праве // Проблемы развития российского законодательства. Сборник статей. – Пермь, 2002. – С. 168-169.</w:t>
      </w:r>
    </w:p>
  </w:footnote>
  <w:footnote w:id="48">
    <w:p w14:paraId="1F04494F"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eastAsia="Times New Roman" w:hAnsi="Times New Roman" w:cs="Times New Roman"/>
          <w:lang w:eastAsia="ru-RU"/>
        </w:rPr>
        <w:t>Коршунов Д.Н. Интерес в частном праве: вопросы теории. Моногра- фия / Под общ. ред. Ю.С. Решетов. – Казань, 2005. – С. 101.</w:t>
      </w:r>
    </w:p>
  </w:footnote>
  <w:footnote w:id="49">
    <w:p w14:paraId="027D0CB5"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0"/>
          <w:szCs w:val="20"/>
          <w:lang w:eastAsia="ru-RU"/>
        </w:rPr>
      </w:pPr>
      <w:r>
        <w:rPr>
          <w:rStyle w:val="a7"/>
          <w:rFonts w:ascii="Times New Roman" w:hAnsi="Times New Roman" w:cs="Times New Roman"/>
          <w:sz w:val="20"/>
          <w:szCs w:val="20"/>
        </w:rPr>
        <w:footnoteRef/>
      </w:r>
      <w:r>
        <w:rPr>
          <w:rFonts w:ascii="Times New Roman" w:hAnsi="Times New Roman" w:cs="Times New Roman"/>
          <w:sz w:val="20"/>
          <w:szCs w:val="20"/>
        </w:rPr>
        <w:t xml:space="preserve"> </w:t>
      </w:r>
      <w:r>
        <w:rPr>
          <w:rFonts w:ascii="Times New Roman" w:eastAsia="Times New Roman" w:hAnsi="Times New Roman" w:cs="Times New Roman"/>
          <w:sz w:val="20"/>
          <w:szCs w:val="20"/>
          <w:lang w:eastAsia="ru-RU"/>
        </w:rPr>
        <w:t xml:space="preserve">Марченко М.Н. Учебник: в 2-х томах. Т. 1. Проблемы общей теории государства и права: Государство. – М., 2007. – С. 165. </w:t>
      </w:r>
    </w:p>
  </w:footnote>
  <w:footnote w:id="50">
    <w:p w14:paraId="125D274A"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eastAsia="Times New Roman" w:hAnsi="Times New Roman" w:cs="Times New Roman"/>
          <w:lang w:eastAsia="ru-RU"/>
        </w:rPr>
        <w:t>Курбатов А.Я. О юридических лицах публичного права // Хозяйство и право.–2009.–No10.–С.80.</w:t>
      </w:r>
    </w:p>
  </w:footnote>
  <w:footnote w:id="51">
    <w:p w14:paraId="1AB909D2"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eastAsia="Times New Roman" w:hAnsi="Times New Roman" w:cs="Times New Roman"/>
          <w:lang w:eastAsia="ru-RU"/>
        </w:rPr>
        <w:t>Пятков Д.В. О гражданской правосубъектности Российской Федера- ции, ее субъектов и муниципальных образований // Журнал российского права. – 1999. – No 10. – C. 78-80.</w:t>
      </w:r>
    </w:p>
  </w:footnote>
  <w:footnote w:id="52">
    <w:p w14:paraId="47BA6FCA"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eastAsia="Times New Roman" w:hAnsi="Times New Roman" w:cs="Times New Roman"/>
          <w:lang w:eastAsia="ru-RU"/>
        </w:rPr>
        <w:t>Усков О.Ю. Юридические лица публичного права: понятие и виды // Журнал российского права. – 2010. – No 6. – С. 111.</w:t>
      </w:r>
    </w:p>
  </w:footnote>
  <w:footnote w:id="53">
    <w:p w14:paraId="565F828E"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Свод уставов о повинностях // Свод законов Российской империи: в 15 т. Изд. 1842 г. — СПб.: Тип. Второго отделения Собственнойе. и. в. канцелярии, 1842. - Т. 4. - 441 с. 21.</w:t>
      </w:r>
    </w:p>
  </w:footnote>
  <w:footnote w:id="54">
    <w:p w14:paraId="29206A30"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Шершеневич Г. Ф. Курс гражданского права: Введение. Общая часть. Особенная часть. Тула: Автограф, 2001. С. 423.</w:t>
      </w:r>
    </w:p>
  </w:footnote>
  <w:footnote w:id="55">
    <w:p w14:paraId="5B967CCA"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Гражданский кодекс РСФСР 1922 г. Введен в действие постановлением ВЦИК от 11 ноября 1922 г. // Собрание Узаконений РСФСР. - 1922. - №71. – С. 90.</w:t>
      </w:r>
    </w:p>
  </w:footnote>
  <w:footnote w:id="56">
    <w:p w14:paraId="373E4AEB"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Постановление ВС СССР от 31.05.1991 № 2212-1 "О введении в действие Основ гражданского законодательства Союза ССР и республик" // «Ведомости СНД СССР и ВС СССР», 1991, № 26, ст. 734</w:t>
      </w:r>
    </w:p>
  </w:footnote>
  <w:footnote w:id="57">
    <w:p w14:paraId="6BCCE4AC"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0"/>
          <w:szCs w:val="20"/>
        </w:rPr>
      </w:pPr>
      <w:r>
        <w:rPr>
          <w:rStyle w:val="a7"/>
          <w:rFonts w:ascii="Times New Roman" w:hAnsi="Times New Roman" w:cs="Times New Roman"/>
          <w:sz w:val="20"/>
          <w:szCs w:val="20"/>
        </w:rPr>
        <w:footnoteRef/>
      </w:r>
      <w:r>
        <w:rPr>
          <w:rFonts w:ascii="Times New Roman" w:hAnsi="Times New Roman" w:cs="Times New Roman"/>
          <w:sz w:val="20"/>
          <w:szCs w:val="20"/>
        </w:rPr>
        <w:t xml:space="preserve">  Кокорин И. С. Соотношение предварительного и организационного договора // Царскосельские чтения. 2012. [Электронный ресурс]: Доступ из науч. электрон. б-ки «КиберЛенинка».</w:t>
      </w:r>
    </w:p>
  </w:footnote>
  <w:footnote w:id="58">
    <w:p w14:paraId="2E6D8961"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0"/>
          <w:szCs w:val="20"/>
        </w:rPr>
      </w:pPr>
      <w:r>
        <w:rPr>
          <w:rStyle w:val="a7"/>
          <w:rFonts w:ascii="Times New Roman" w:hAnsi="Times New Roman" w:cs="Times New Roman"/>
          <w:sz w:val="20"/>
          <w:szCs w:val="20"/>
        </w:rPr>
        <w:footnoteRef/>
      </w:r>
      <w:r>
        <w:rPr>
          <w:rFonts w:ascii="Times New Roman" w:hAnsi="Times New Roman" w:cs="Times New Roman"/>
          <w:sz w:val="20"/>
          <w:szCs w:val="20"/>
        </w:rPr>
        <w:t xml:space="preserve"> Шершеневич Г.Ф. Курс гражданского права / Г.Ф. Шершеневич. Тула: Автограф, 2001. С. 424.</w:t>
      </w:r>
    </w:p>
  </w:footnote>
  <w:footnote w:id="59">
    <w:p w14:paraId="3B3C217C"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0"/>
          <w:szCs w:val="20"/>
        </w:rPr>
      </w:pPr>
      <w:r>
        <w:rPr>
          <w:rStyle w:val="a7"/>
          <w:rFonts w:ascii="Times New Roman" w:hAnsi="Times New Roman" w:cs="Times New Roman"/>
          <w:sz w:val="20"/>
          <w:szCs w:val="20"/>
        </w:rPr>
        <w:footnoteRef/>
      </w:r>
      <w:r>
        <w:rPr>
          <w:rFonts w:ascii="Times New Roman" w:hAnsi="Times New Roman" w:cs="Times New Roman"/>
          <w:sz w:val="20"/>
          <w:szCs w:val="20"/>
        </w:rPr>
        <w:t xml:space="preserve"> Постановление ВЦИК от 11.11.1922 (ред. от 01.02.1949) "О введении в действие Гражданского кодекса Р.С.Ф.С.Р." // «СУ РСФСР», 1922, № 71, ст. 904,</w:t>
      </w:r>
    </w:p>
    <w:p w14:paraId="0CDD6452"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Fonts w:ascii="Times New Roman" w:hAnsi="Times New Roman" w:cs="Times New Roman"/>
        </w:rPr>
        <w:t>(вместе с "Гражданским кодексом Р.С.Ф.С.Р.").</w:t>
      </w:r>
    </w:p>
  </w:footnote>
  <w:footnote w:id="60">
    <w:p w14:paraId="245E6233"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Cs/>
          <w:sz w:val="20"/>
          <w:szCs w:val="20"/>
        </w:rPr>
      </w:pPr>
      <w:r>
        <w:rPr>
          <w:rStyle w:val="a7"/>
          <w:rFonts w:ascii="Times New Roman" w:hAnsi="Times New Roman" w:cs="Times New Roman"/>
          <w:sz w:val="20"/>
          <w:szCs w:val="20"/>
        </w:rPr>
        <w:footnoteRef/>
      </w:r>
      <w:r>
        <w:rPr>
          <w:rFonts w:ascii="Times New Roman" w:hAnsi="Times New Roman" w:cs="Times New Roman"/>
          <w:sz w:val="20"/>
          <w:szCs w:val="20"/>
        </w:rPr>
        <w:t xml:space="preserve"> Агарков М. М. Юридическая природа железнодорожной перевозки // Вестник гражданского права. 2008. № 4. </w:t>
      </w:r>
      <w:r>
        <w:rPr>
          <w:rFonts w:ascii="Times New Roman" w:hAnsi="Times New Roman" w:cs="Times New Roman"/>
          <w:bCs/>
          <w:sz w:val="20"/>
          <w:szCs w:val="20"/>
        </w:rPr>
        <w:t>[Электронный ресурс]: Доступ из справ.-правовой системы «КонсультантПлюс».</w:t>
      </w:r>
    </w:p>
  </w:footnote>
  <w:footnote w:id="61">
    <w:p w14:paraId="53EA1225"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Шершеневич Г.Ф. Курс гражданского права / Г.Ф. Шершеневич. Особенная часть. - Тула: Автограф, 2001. - С. 423.</w:t>
      </w:r>
    </w:p>
  </w:footnote>
  <w:footnote w:id="62">
    <w:p w14:paraId="55C70A8E"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0"/>
          <w:szCs w:val="20"/>
        </w:rPr>
      </w:pPr>
      <w:r>
        <w:rPr>
          <w:rStyle w:val="a7"/>
          <w:rFonts w:ascii="Times New Roman" w:hAnsi="Times New Roman" w:cs="Times New Roman"/>
          <w:sz w:val="20"/>
          <w:szCs w:val="20"/>
        </w:rPr>
        <w:footnoteRef/>
      </w:r>
      <w:r>
        <w:rPr>
          <w:rFonts w:ascii="Times New Roman" w:hAnsi="Times New Roman" w:cs="Times New Roman"/>
          <w:sz w:val="20"/>
          <w:szCs w:val="20"/>
        </w:rPr>
        <w:t xml:space="preserve"> Основы гражданского законодательства Союза ССР и Республик от 31 мая 1991 г. № 2211-1 // Ведомости СНД и ВС СССР. 1991. № 26.</w:t>
      </w:r>
    </w:p>
  </w:footnote>
  <w:footnote w:id="63">
    <w:p w14:paraId="4FECBFC1"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Гражданский кодекс Российской Федерации. Часть первая: федер. закон Рос. Федерации от 30 ноября 1994 г. № 51-ФЗ (в ред. от 18.07.2019) // Собр. законодательства Рос. Федерации. - 1994. - № 32. - С. 3301.</w:t>
      </w:r>
    </w:p>
  </w:footnote>
  <w:footnote w:id="64">
    <w:p w14:paraId="4885249B"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«Гражданский кодекс РСФСР» (утв. ВС РСФСР 11.06.1964) (ред. от 26.11.2001) // "Ведомости ВС РСФСР", 1964,№  24, ст. 407.</w:t>
      </w:r>
    </w:p>
  </w:footnote>
  <w:footnote w:id="65">
    <w:p w14:paraId="36DA31D0"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Постановление ВЦИК от 11.11.1922 (ред. от 01.02.1949) «О введении в действие Гражданского кодекса Р.С.Ф.С.Р.» (вместе с «Гражданским кодексом Р.С.Ф.С.Р.») // «СУ РСФСР» , 1922, № 71, ст. 904.</w:t>
      </w:r>
    </w:p>
  </w:footnote>
  <w:footnote w:id="66">
    <w:p w14:paraId="6BB5DACB"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«Гражданский кодекс РСФСР» (утв. ВС РСФСР 11.06.1964) (ред. от 26.11.2001) // «Ведомости ВС РСФСР». – 1964. - № 24. - С. 407.</w:t>
      </w:r>
    </w:p>
  </w:footnote>
  <w:footnote w:id="67">
    <w:p w14:paraId="387DC76E" w14:textId="73680A47" w:rsidR="00FD5ABB" w:rsidRPr="004E6A89" w:rsidRDefault="00FD5ABB" w:rsidP="004E6A89">
      <w:pPr>
        <w:pStyle w:val="a5"/>
        <w:rPr>
          <w:rFonts w:ascii="Times New Roman" w:hAnsi="Times New Roman" w:cs="Times New Roman"/>
        </w:rPr>
      </w:pPr>
      <w:r w:rsidRPr="004E6A89">
        <w:rPr>
          <w:rStyle w:val="a7"/>
          <w:rFonts w:ascii="Times New Roman" w:hAnsi="Times New Roman" w:cs="Times New Roman"/>
        </w:rPr>
        <w:footnoteRef/>
      </w:r>
      <w:r w:rsidRPr="004E6A89">
        <w:rPr>
          <w:rFonts w:ascii="Times New Roman" w:hAnsi="Times New Roman" w:cs="Times New Roman"/>
        </w:rPr>
        <w:t xml:space="preserve"> Поленов Р.В. Особенности правового регулирования договорных отношений в сфере геологического изучения на участках недр континентального шельфа // Власть закона. - 2018. - № 4.  - С. 166.</w:t>
      </w:r>
    </w:p>
  </w:footnote>
  <w:footnote w:id="68">
    <w:p w14:paraId="3A977C9B"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Андреев В.К. Развитие понятия юридического лица // Гражданское право. 2014. N 4. С. 3 - 7. - Доступ из справ.-правовой системы «КонсультантПлюс».</w:t>
      </w:r>
    </w:p>
  </w:footnote>
  <w:footnote w:id="69">
    <w:p w14:paraId="60941EA6"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Глава Минюста: в России зарегистрировано более 220 тысяч НКО. URL:https://tass.ru/obschestvo/4749262 (дата обращения: 10.03.2020).</w:t>
      </w:r>
    </w:p>
  </w:footnote>
  <w:footnote w:id="70">
    <w:p w14:paraId="2D68A611"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Сойфер Т.В. К вопросу об управлении в некоммерческих корпорациях // Гражданское право. 2017. N 4. С. 3 - 6. - Доступ из справ.-правовой системы «КонсультантПлюс».</w:t>
      </w:r>
    </w:p>
  </w:footnote>
  <w:footnote w:id="71">
    <w:p w14:paraId="22B792E6"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Сойфер Т.В. Там же. </w:t>
      </w:r>
    </w:p>
  </w:footnote>
  <w:footnote w:id="72">
    <w:p w14:paraId="778B4849"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Суханов Е.А. О юридических лицах в Гражданском кодексе РФ 1994 г. // Вестник гражданского права. 2019. N 6. С. 22 - 34. - Доступ из справ.-правовой системы «КонсультантПлюс».</w:t>
      </w:r>
    </w:p>
  </w:footnote>
  <w:footnote w:id="73">
    <w:p w14:paraId="35610458"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Здесь и далее идет речь об адвокатских палатах субъектов РФ и не учитываются особенности Федеральной палаты адвокатов РФ (прим. автор. - М.П.) </w:t>
      </w:r>
    </w:p>
  </w:footnote>
  <w:footnote w:id="74">
    <w:p w14:paraId="65F06621"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См. решение Совета Адвокатской палаты Тамбовской области от 26.12.2013г.  URL: http://advokat68.ru/2673-2/ (дата обращения: 10.03.2020).</w:t>
      </w:r>
    </w:p>
  </w:footnote>
  <w:footnote w:id="75">
    <w:p w14:paraId="528AE8BD"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Земельный кодекс Российской Федерации: федеральный закон от 25.10.2001 № 136-ФЗ // Собрание законодательства Российской Федерации. – 2001. – № 44, ст. 4147.</w:t>
      </w:r>
    </w:p>
  </w:footnote>
  <w:footnote w:id="76">
    <w:p w14:paraId="360F71F4"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О развитии сельского хозяйства: федеральный закон от 29.12.2006 № 264-ФЗ // Собрание законодательства Российской Федерации. – 2007. – № 1 (ч.1), ст. 27.</w:t>
      </w:r>
    </w:p>
  </w:footnote>
  <w:footnote w:id="77">
    <w:p w14:paraId="09936893"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Об обороте земель сельскохозяйственного назначения: федеральный закон от 24.07.2002 № 101-ФЗ // Собрание законодательства Российской Федерации. – 2002. – № 30, ст. 3018.</w:t>
      </w:r>
    </w:p>
  </w:footnote>
  <w:footnote w:id="78">
    <w:p w14:paraId="771F7517"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Об основах регулирования земельных отношений в Краснодарском крае: закон Краснодарского края от 05.11.2002 № 532-КЗ // Кубанские новости. – 2002. – № 240.</w:t>
      </w:r>
    </w:p>
  </w:footnote>
  <w:footnote w:id="79">
    <w:p w14:paraId="0CDBDB36"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О преимущественном праве муниципальных образований Краснодарского края на покупку земельных участков из земель сельскохозяйственного назначения: закон Краснодарского края от 26.12.2012 № 2643-КЗ // Официальный сайт администрации Краснодарского края https://admkrai.krasnodar.ru/. 2012.</w:t>
      </w:r>
    </w:p>
  </w:footnote>
  <w:footnote w:id="80">
    <w:p w14:paraId="697550CD"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О реализации Краснодарским краем преимущественного права покупки земельных участков из земель сельскохозяйственного назначения: постановление главы администрации Краснодарского края от 10.01.2003 № 26 // Кубанские новости. – 2003. – № 16.</w:t>
      </w:r>
    </w:p>
  </w:footnote>
  <w:footnote w:id="81">
    <w:p w14:paraId="54A9AC6D"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Гражданское право. В 2 ч. Ч. 2: учебник для студентов вузов, обучающихся по направлению «Юриспруденция» / под ред. В.П. Камышанского, Н.М. Коршунова, В.И. Иванова. – М.: ЮНИТИ-ДАНА, 2012. – С. 44.</w:t>
      </w:r>
    </w:p>
  </w:footnote>
  <w:footnote w:id="82">
    <w:p w14:paraId="0C48B747"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Гражданское право РФ (особенная часть) : учеб.-метод. пособие / Л. И. Попова, В. П. Камышанский, А. Ю. Дудченко. – Краснодар : КубГАУ, 2015. – С. 11.</w:t>
      </w:r>
    </w:p>
  </w:footnote>
  <w:footnote w:id="83">
    <w:p w14:paraId="5CABE4ED"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О некоторых вопросах разрешения споров, возникающих из договоров по поводу недвижимости, которая будет создана или приобретена в будущем: постановление пленума ВАС РФ от 11.07.2011 № 54 //Вестник ВАС РФ. 2011. № 9.</w:t>
      </w:r>
    </w:p>
  </w:footnote>
  <w:footnote w:id="84">
    <w:p w14:paraId="497A3289"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Договорные отношения сельскохозяйственных производителей. Монография / Беляева З.С., Землякова Г.Л., Иконицкая И.А., Козырь М.И. и др.; Под ред: Беляевой З.С., Иконицкая И.А. – М.: КолосС, 2003. – С. 127.</w:t>
      </w:r>
    </w:p>
  </w:footnote>
  <w:footnote w:id="85">
    <w:p w14:paraId="6FF194D2"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Костина О. В. О существенных условиях договора купли-продажи земельных участков // Нотариус. – 2010. – № 2. – С. 25.</w:t>
      </w:r>
    </w:p>
  </w:footnote>
  <w:footnote w:id="86">
    <w:p w14:paraId="21E74170"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Паршин А. Преимущественное право покупки у субъекта Российской Федерации земель сельскохозяйственного назначения // Правовые вопросы недвижимости. – 2006. – № 1. – С. 43.</w:t>
      </w:r>
    </w:p>
  </w:footnote>
  <w:footnote w:id="87">
    <w:p w14:paraId="3FC636FC"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Румянцев Ф.П. Особенности договора купли-продажи земельных участков сельскохозяйственного назначения // Журнал российского права. – 2013. – № 8. – С. 28.</w:t>
      </w:r>
    </w:p>
  </w:footnote>
  <w:footnote w:id="88">
    <w:p w14:paraId="32383E76"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i/>
        </w:rPr>
        <w:t>Гражданский кодекс Российской Федерации</w:t>
      </w:r>
      <w:r>
        <w:rPr>
          <w:rFonts w:ascii="Times New Roman" w:hAnsi="Times New Roman" w:cs="Times New Roman"/>
        </w:rPr>
        <w:t xml:space="preserve"> (часть третья) от 26 ноября 2001 года № 146-ФЗ (в редакции ФЗ от 18 марта 2019 года) // Собрание законодательства Российской Федерации, 2001, № 49, ст. 4552</w:t>
      </w:r>
    </w:p>
  </w:footnote>
  <w:footnote w:id="89">
    <w:p w14:paraId="32C0F156"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i/>
        </w:rPr>
        <w:t xml:space="preserve">Тимошин Ю.В. </w:t>
      </w:r>
      <w:r>
        <w:rPr>
          <w:rFonts w:ascii="Times New Roman" w:hAnsi="Times New Roman" w:cs="Times New Roman"/>
        </w:rPr>
        <w:t>Проблемы правового регулирования наследования государственных наград, почётных и памятных знаков // Вестник Московского университета МВД России. - 2009. - № 7. - С. 205.</w:t>
      </w:r>
    </w:p>
  </w:footnote>
  <w:footnote w:id="90">
    <w:p w14:paraId="2EF73A1F"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О мерах по совершенствованию государственной наградной системы Российской Федерации: Указ Президента РФ от 07 сентября 2010 года № 1099 (в редакции от 31 декабря 2019 года) // Собрание законодательства РФ, 2010, № 37, ст. 4643.</w:t>
      </w:r>
    </w:p>
  </w:footnote>
  <w:footnote w:id="91">
    <w:p w14:paraId="5D7D94D8"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i/>
        </w:rPr>
        <w:t>Боннер А. В.</w:t>
      </w:r>
      <w:r>
        <w:rPr>
          <w:rFonts w:ascii="Times New Roman" w:hAnsi="Times New Roman" w:cs="Times New Roman"/>
        </w:rPr>
        <w:t xml:space="preserve"> Эхо войны. Споры о наградах. // Закон. - 2014 - № 5. - С.123.</w:t>
      </w:r>
    </w:p>
    <w:p w14:paraId="35C41DA7"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p>
    <w:p w14:paraId="3FB25AD2"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p>
  </w:footnote>
  <w:footnote w:id="92">
    <w:p w14:paraId="38530B3F"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0"/>
          <w:szCs w:val="20"/>
        </w:rPr>
      </w:pPr>
      <w:r>
        <w:rPr>
          <w:rStyle w:val="a7"/>
          <w:sz w:val="20"/>
          <w:szCs w:val="20"/>
        </w:rPr>
        <w:footnoteRef/>
      </w:r>
      <w:r>
        <w:rPr>
          <w:rFonts w:ascii="Times New Roman" w:hAnsi="Times New Roman" w:cs="Times New Roman"/>
          <w:sz w:val="20"/>
          <w:szCs w:val="20"/>
        </w:rPr>
        <w:t xml:space="preserve"> </w:t>
      </w:r>
      <w:r>
        <w:rPr>
          <w:rFonts w:ascii="Times New Roman" w:eastAsia="Times New Roman" w:hAnsi="Times New Roman" w:cs="Times New Roman"/>
          <w:sz w:val="20"/>
          <w:szCs w:val="20"/>
          <w:lang w:eastAsia="ru-RU"/>
        </w:rPr>
        <w:t>Основы законодательства Российской Федерации о нотариате : утв. ВС РФ 11.02.1993 № 4462-1 : в ред. от 27.12.2019 // Ведомости СНД и ВС РФ. – 1993. – № 10. – Ст. 357.</w:t>
      </w:r>
    </w:p>
  </w:footnote>
  <w:footnote w:id="93">
    <w:p w14:paraId="64E34B5F"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Pr>
        <w:footnoteRef/>
      </w:r>
      <w:r>
        <w:rPr>
          <w:rFonts w:ascii="Times New Roman" w:hAnsi="Times New Roman" w:cs="Times New Roman"/>
        </w:rPr>
        <w:t xml:space="preserve"> Герасимов А. В. Органы государственной безопасности в механизме правового государства (теоретико-правовой аспект) : дис. ... канд. юрид. наук. – Краснодар, 2004. – С. 110.</w:t>
      </w:r>
    </w:p>
  </w:footnote>
  <w:footnote w:id="94">
    <w:p w14:paraId="7ECF7365"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0"/>
          <w:szCs w:val="20"/>
        </w:rPr>
      </w:pPr>
      <w:r>
        <w:rPr>
          <w:rStyle w:val="a7"/>
          <w:sz w:val="20"/>
          <w:szCs w:val="20"/>
        </w:rPr>
        <w:footnoteRef/>
      </w:r>
      <w:r>
        <w:rPr>
          <w:rFonts w:ascii="Times New Roman" w:hAnsi="Times New Roman" w:cs="Times New Roman"/>
          <w:sz w:val="20"/>
          <w:szCs w:val="20"/>
        </w:rPr>
        <w:t xml:space="preserve"> Данилов Д. Б. Специфика процесса доказывания по делам об административных правонарушениях за незаконное использование товарного знака // Вестник Саратов. гос. юрид. академии. – 2011. – № 6. – С. 142-145.</w:t>
      </w:r>
    </w:p>
  </w:footnote>
  <w:footnote w:id="95">
    <w:p w14:paraId="778ADB81"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0"/>
          <w:szCs w:val="20"/>
        </w:rPr>
      </w:pPr>
      <w:r>
        <w:rPr>
          <w:rStyle w:val="a7"/>
          <w:sz w:val="20"/>
          <w:szCs w:val="20"/>
        </w:rPr>
        <w:footnoteRef/>
      </w:r>
      <w:r>
        <w:rPr>
          <w:rFonts w:ascii="Times New Roman" w:hAnsi="Times New Roman" w:cs="Times New Roman"/>
          <w:sz w:val="20"/>
          <w:szCs w:val="20"/>
        </w:rPr>
        <w:t xml:space="preserve"> Туманова Л. В., Амаглобели Н. Д. Гражданский процесс : учеб. – М.: ЮНИТИ-ДАНА, 2012. – С. 134.</w:t>
      </w:r>
    </w:p>
  </w:footnote>
  <w:footnote w:id="96">
    <w:p w14:paraId="2513E0C5"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0"/>
          <w:szCs w:val="20"/>
        </w:rPr>
      </w:pPr>
      <w:r>
        <w:rPr>
          <w:rStyle w:val="a7"/>
          <w:sz w:val="20"/>
          <w:szCs w:val="20"/>
        </w:rPr>
        <w:footnoteRef/>
      </w:r>
      <w:r>
        <w:rPr>
          <w:rFonts w:ascii="Times New Roman" w:hAnsi="Times New Roman" w:cs="Times New Roman"/>
          <w:sz w:val="20"/>
          <w:szCs w:val="20"/>
        </w:rPr>
        <w:t xml:space="preserve"> Сазонова М. И. Надо обеспечить прозрачность и эффективность нотариальной деятельности // Нотариальный вестник. – 2010. – № 1. – С. 77.</w:t>
      </w:r>
    </w:p>
  </w:footnote>
  <w:footnote w:id="97">
    <w:p w14:paraId="06A2B79E"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0"/>
          <w:szCs w:val="20"/>
        </w:rPr>
      </w:pPr>
      <w:r>
        <w:rPr>
          <w:rStyle w:val="a7"/>
          <w:sz w:val="20"/>
          <w:szCs w:val="20"/>
        </w:rPr>
        <w:footnoteRef/>
      </w:r>
      <w:r>
        <w:rPr>
          <w:rFonts w:ascii="Times New Roman" w:hAnsi="Times New Roman" w:cs="Times New Roman"/>
          <w:sz w:val="20"/>
          <w:szCs w:val="20"/>
        </w:rPr>
        <w:t xml:space="preserve"> Черемных И. Г. Российский нотариат : прошлое, настоящее, буду</w:t>
      </w:r>
      <w:r>
        <w:rPr>
          <w:rFonts w:ascii="Times New Roman" w:hAnsi="Times New Roman" w:cs="Times New Roman"/>
          <w:sz w:val="20"/>
          <w:szCs w:val="20"/>
        </w:rPr>
        <w:softHyphen/>
        <w:t>щее. – М.: ОКТБ, 1999. – С. 99-101.</w:t>
      </w:r>
    </w:p>
  </w:footnote>
  <w:footnote w:id="98">
    <w:p w14:paraId="2B6AD7E8"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0"/>
          <w:szCs w:val="20"/>
        </w:rPr>
      </w:pPr>
      <w:r>
        <w:rPr>
          <w:rStyle w:val="a7"/>
          <w:sz w:val="20"/>
          <w:szCs w:val="20"/>
        </w:rPr>
        <w:footnoteRef/>
      </w:r>
      <w:r>
        <w:rPr>
          <w:rFonts w:ascii="Times New Roman" w:hAnsi="Times New Roman" w:cs="Times New Roman"/>
          <w:sz w:val="20"/>
          <w:szCs w:val="20"/>
        </w:rPr>
        <w:t xml:space="preserve"> Елизарьев Г. Деление нотариата на го</w:t>
      </w:r>
      <w:r>
        <w:rPr>
          <w:rFonts w:ascii="Times New Roman" w:hAnsi="Times New Roman" w:cs="Times New Roman"/>
          <w:sz w:val="20"/>
          <w:szCs w:val="20"/>
        </w:rPr>
        <w:softHyphen/>
        <w:t>сударственный и частный – противоестественно // Нотариальный вестник. – 1997. – № 4.</w:t>
      </w:r>
    </w:p>
    <w:p w14:paraId="3CE998E7"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p>
  </w:footnote>
  <w:footnote w:id="99">
    <w:p w14:paraId="07DB0091" w14:textId="77777777" w:rsidR="00FD5ABB" w:rsidRDefault="00FD5ABB" w:rsidP="0065131F">
      <w:pPr>
        <w:pStyle w:val="a5"/>
      </w:pPr>
      <w:r>
        <w:rPr>
          <w:rStyle w:val="a7"/>
        </w:rPr>
        <w:footnoteRef/>
      </w:r>
      <w:r>
        <w:t xml:space="preserve"> См.: Бармина О.Н. Злоупотребление правом как общеправовая категория: теоретико-правовой анализ: дисс.</w:t>
      </w:r>
      <w:r w:rsidRPr="00C33875">
        <w:t xml:space="preserve"> на соискание ученой степени к.ю.н. </w:t>
      </w:r>
      <w:r>
        <w:t>г. Киров</w:t>
      </w:r>
      <w:r w:rsidRPr="00C33875">
        <w:t>, 201</w:t>
      </w:r>
      <w:r>
        <w:t>4</w:t>
      </w:r>
      <w:r w:rsidRPr="00C33875">
        <w:t xml:space="preserve"> г.;</w:t>
      </w:r>
    </w:p>
  </w:footnote>
  <w:footnote w:id="100">
    <w:p w14:paraId="77B17A34" w14:textId="77777777" w:rsidR="00FD5ABB" w:rsidRDefault="00FD5ABB" w:rsidP="0065131F">
      <w:pPr>
        <w:pStyle w:val="a5"/>
      </w:pPr>
      <w:r>
        <w:rPr>
          <w:rStyle w:val="a7"/>
        </w:rPr>
        <w:footnoteRef/>
      </w:r>
      <w:r>
        <w:t xml:space="preserve"> </w:t>
      </w:r>
      <w:r w:rsidRPr="00DD2398">
        <w:t xml:space="preserve">См.: Бекназар – Юзбашев Г.Т. Принцип доброй совести в гражданском </w:t>
      </w:r>
      <w:r>
        <w:t>праве Германии и России: дисс.</w:t>
      </w:r>
      <w:r w:rsidRPr="00C33875">
        <w:t xml:space="preserve"> на соискание ученой степени к.ю.н.</w:t>
      </w:r>
      <w:r>
        <w:t xml:space="preserve">г. </w:t>
      </w:r>
      <w:r w:rsidRPr="00C33875">
        <w:t xml:space="preserve"> </w:t>
      </w:r>
      <w:r w:rsidRPr="00DD2398">
        <w:t>Москва, 2010</w:t>
      </w:r>
      <w:r>
        <w:t xml:space="preserve"> г</w:t>
      </w:r>
      <w:r w:rsidRPr="00DD2398">
        <w:t>.</w:t>
      </w:r>
      <w:r>
        <w:t>;</w:t>
      </w:r>
    </w:p>
  </w:footnote>
  <w:footnote w:id="101">
    <w:p w14:paraId="6EAA0F08" w14:textId="77777777" w:rsidR="00FD5ABB" w:rsidRDefault="00FD5ABB" w:rsidP="0065131F">
      <w:pPr>
        <w:pStyle w:val="a5"/>
      </w:pPr>
      <w:r>
        <w:rPr>
          <w:rStyle w:val="a7"/>
        </w:rPr>
        <w:footnoteRef/>
      </w:r>
      <w:r>
        <w:t xml:space="preserve"> </w:t>
      </w:r>
      <w:r w:rsidRPr="00DD2398">
        <w:t xml:space="preserve"> См.: Вавилин Е.В. Осуществление и защита гражданских прав. М.: Волтерс Клувер, 2009</w:t>
      </w:r>
      <w:r>
        <w:t xml:space="preserve"> г</w:t>
      </w:r>
      <w:r w:rsidRPr="00DD2398">
        <w:t>. (</w:t>
      </w:r>
      <w:r>
        <w:t>с. 338</w:t>
      </w:r>
      <w:r w:rsidRPr="00DD2398">
        <w:t xml:space="preserve"> </w:t>
      </w:r>
      <w:r>
        <w:t>и др.);</w:t>
      </w:r>
    </w:p>
  </w:footnote>
  <w:footnote w:id="102">
    <w:p w14:paraId="0D0F9FAB" w14:textId="77777777" w:rsidR="00FD5ABB" w:rsidRDefault="00FD5ABB" w:rsidP="0065131F">
      <w:pPr>
        <w:pStyle w:val="a5"/>
      </w:pPr>
      <w:r>
        <w:rPr>
          <w:rStyle w:val="a7"/>
        </w:rPr>
        <w:footnoteRef/>
      </w:r>
      <w:r>
        <w:t xml:space="preserve"> </w:t>
      </w:r>
      <w:r w:rsidRPr="00DD2398">
        <w:t>См.: Грибанов В.П. Осуществление и защита гра</w:t>
      </w:r>
      <w:r>
        <w:t>жданских прав. М.: Статут, 2000;</w:t>
      </w:r>
    </w:p>
  </w:footnote>
  <w:footnote w:id="103">
    <w:p w14:paraId="2B6D1D0B" w14:textId="77777777" w:rsidR="00FD5ABB" w:rsidRDefault="00FD5ABB" w:rsidP="0065131F">
      <w:pPr>
        <w:pStyle w:val="a5"/>
      </w:pPr>
      <w:r>
        <w:rPr>
          <w:rStyle w:val="a7"/>
        </w:rPr>
        <w:footnoteRef/>
      </w:r>
      <w:r>
        <w:t xml:space="preserve"> </w:t>
      </w:r>
      <w:r w:rsidRPr="00DD2398">
        <w:t>См.: Ибрагимова М.В. М.В. Злоупотребление субъективным гражданским правом: понятие, сущно</w:t>
      </w:r>
      <w:r>
        <w:t>сть, виды и последствия: дисс.</w:t>
      </w:r>
      <w:r w:rsidRPr="00C33875">
        <w:t xml:space="preserve"> на соискание ученой степени к.ю.н. </w:t>
      </w:r>
      <w:r>
        <w:t>г.</w:t>
      </w:r>
      <w:r w:rsidRPr="00DD2398">
        <w:t xml:space="preserve"> Рязань. 2005</w:t>
      </w:r>
      <w:r>
        <w:t xml:space="preserve"> г.;</w:t>
      </w:r>
    </w:p>
  </w:footnote>
  <w:footnote w:id="104">
    <w:p w14:paraId="13FFF223" w14:textId="77777777" w:rsidR="00FD5ABB" w:rsidRDefault="00FD5ABB" w:rsidP="0065131F">
      <w:pPr>
        <w:pStyle w:val="a5"/>
      </w:pPr>
      <w:r>
        <w:rPr>
          <w:rStyle w:val="a7"/>
        </w:rPr>
        <w:footnoteRef/>
      </w:r>
      <w:r>
        <w:t xml:space="preserve"> </w:t>
      </w:r>
      <w:r w:rsidRPr="00DD2398">
        <w:t>Избрехт П.А. Злоупотребление гражданскими правами в сфере предпринимательской деятельности: ди</w:t>
      </w:r>
      <w:r>
        <w:t>с</w:t>
      </w:r>
      <w:r w:rsidRPr="00DD2398">
        <w:t xml:space="preserve">с. на соискание ученой степени к.ю.н. </w:t>
      </w:r>
      <w:r>
        <w:t xml:space="preserve">г. </w:t>
      </w:r>
      <w:r w:rsidRPr="00DD2398">
        <w:t>Екатеринбург, 2005</w:t>
      </w:r>
      <w:r>
        <w:t xml:space="preserve"> г</w:t>
      </w:r>
      <w:r w:rsidRPr="00DD2398">
        <w:t>.</w:t>
      </w:r>
      <w:r>
        <w:t>;</w:t>
      </w:r>
    </w:p>
  </w:footnote>
  <w:footnote w:id="105">
    <w:p w14:paraId="5CF8D299" w14:textId="77777777" w:rsidR="00FD5ABB" w:rsidRDefault="00FD5ABB" w:rsidP="0065131F">
      <w:pPr>
        <w:pStyle w:val="a5"/>
      </w:pPr>
      <w:r>
        <w:rPr>
          <w:rStyle w:val="a7"/>
        </w:rPr>
        <w:footnoteRef/>
      </w:r>
      <w:r>
        <w:t xml:space="preserve"> </w:t>
      </w:r>
      <w:r w:rsidRPr="00DD2398">
        <w:t>См.: Лукьяненко М.Ф. Оценочные понятия гражданского права: разумность, добросовестность, существенно</w:t>
      </w:r>
      <w:r>
        <w:t>сть. М.: Статут, 2010 г.  (с. 12-16);</w:t>
      </w:r>
    </w:p>
  </w:footnote>
  <w:footnote w:id="106">
    <w:p w14:paraId="50B42607" w14:textId="77777777" w:rsidR="00FD5ABB" w:rsidRDefault="00FD5ABB" w:rsidP="0065131F">
      <w:pPr>
        <w:pStyle w:val="a5"/>
      </w:pPr>
      <w:r>
        <w:rPr>
          <w:rStyle w:val="a7"/>
        </w:rPr>
        <w:footnoteRef/>
      </w:r>
      <w:r>
        <w:t xml:space="preserve"> См.: </w:t>
      </w:r>
      <w:r w:rsidRPr="00DD2398">
        <w:t>Радченко С.Д. Злоупотребление правом в гр</w:t>
      </w:r>
      <w:r>
        <w:t xml:space="preserve">ажданском праве России: дисс. </w:t>
      </w:r>
      <w:r w:rsidRPr="00C33875">
        <w:t>на</w:t>
      </w:r>
      <w:r>
        <w:t xml:space="preserve"> соискание ученой степени к.ю.н</w:t>
      </w:r>
      <w:r w:rsidRPr="00DD2398">
        <w:t xml:space="preserve">. </w:t>
      </w:r>
      <w:r>
        <w:t xml:space="preserve">г. </w:t>
      </w:r>
      <w:r w:rsidRPr="00DD2398">
        <w:t>Москва, 2007</w:t>
      </w:r>
      <w:r>
        <w:t xml:space="preserve"> г</w:t>
      </w:r>
      <w:r w:rsidRPr="00DD2398">
        <w:t>.</w:t>
      </w:r>
      <w:r>
        <w:t>;</w:t>
      </w:r>
    </w:p>
  </w:footnote>
  <w:footnote w:id="107">
    <w:p w14:paraId="2A23AA58" w14:textId="77777777" w:rsidR="00FD5ABB" w:rsidRDefault="00FD5ABB" w:rsidP="0065131F">
      <w:pPr>
        <w:pStyle w:val="a5"/>
      </w:pPr>
      <w:r>
        <w:rPr>
          <w:rStyle w:val="a7"/>
        </w:rPr>
        <w:footnoteRef/>
      </w:r>
      <w:r>
        <w:t xml:space="preserve"> </w:t>
      </w:r>
      <w:r w:rsidRPr="00C33875">
        <w:t>См.: Яценко Т.С. Шикана как правовая категор</w:t>
      </w:r>
      <w:r>
        <w:t xml:space="preserve">ия в гражданском праве: дисс. </w:t>
      </w:r>
      <w:r w:rsidRPr="00C33875">
        <w:t>на</w:t>
      </w:r>
      <w:r>
        <w:t xml:space="preserve"> соискание ученой степени к.ю.н</w:t>
      </w:r>
      <w:r w:rsidRPr="00C33875">
        <w:t xml:space="preserve">. </w:t>
      </w:r>
      <w:r>
        <w:t xml:space="preserve">г. </w:t>
      </w:r>
      <w:r w:rsidRPr="00C33875">
        <w:t>Ростов</w:t>
      </w:r>
      <w:r>
        <w:t>-</w:t>
      </w:r>
      <w:r w:rsidRPr="00C33875">
        <w:t>на-Дону, 2001</w:t>
      </w:r>
      <w:r>
        <w:t xml:space="preserve"> г</w:t>
      </w:r>
      <w:r w:rsidRPr="00C33875">
        <w:t>.</w:t>
      </w:r>
    </w:p>
  </w:footnote>
  <w:footnote w:id="108">
    <w:p w14:paraId="354AB69B" w14:textId="77777777" w:rsidR="00FD5ABB" w:rsidRDefault="00FD5ABB" w:rsidP="0065131F">
      <w:pPr>
        <w:pStyle w:val="a5"/>
      </w:pPr>
      <w:r>
        <w:rPr>
          <w:rStyle w:val="a7"/>
        </w:rPr>
        <w:footnoteRef/>
      </w:r>
      <w:r>
        <w:t xml:space="preserve"> </w:t>
      </w:r>
      <w:r w:rsidRPr="00DD2398">
        <w:t xml:space="preserve"> Грибанов В.П. Осуществление и защита гражданских прав. М.: Статут, 2000</w:t>
      </w:r>
      <w:r>
        <w:t xml:space="preserve"> г</w:t>
      </w:r>
      <w:r w:rsidRPr="00DD2398">
        <w:t xml:space="preserve">. </w:t>
      </w:r>
      <w:r>
        <w:t>с</w:t>
      </w:r>
      <w:r w:rsidRPr="00E820A8">
        <w:t>. 46.</w:t>
      </w:r>
    </w:p>
  </w:footnote>
  <w:footnote w:id="109">
    <w:p w14:paraId="0E4C1A79" w14:textId="77777777" w:rsidR="00FD5ABB" w:rsidRDefault="00FD5ABB" w:rsidP="0065131F">
      <w:pPr>
        <w:pStyle w:val="a5"/>
      </w:pPr>
      <w:r>
        <w:rPr>
          <w:rStyle w:val="a7"/>
        </w:rPr>
        <w:footnoteRef/>
      </w:r>
      <w:r>
        <w:t xml:space="preserve"> </w:t>
      </w:r>
      <w:r w:rsidRPr="00EE7A69">
        <w:rPr>
          <w:bCs/>
        </w:rPr>
        <w:t>Определение КС РФ от 24 сентября 2013 г. N 1252-О; Определение КС РФ от 17 июля 2014 г. N 1808-О; Определение КС от 29 января 2015 г. N 99-О</w:t>
      </w:r>
    </w:p>
  </w:footnote>
  <w:footnote w:id="110">
    <w:p w14:paraId="0C6450D6" w14:textId="77777777" w:rsidR="00FD5ABB" w:rsidRPr="00F734BA"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bCs/>
        </w:rPr>
        <w:t xml:space="preserve">О внесении изменений в отдельные законодательные акты Российской Федерации по вопросам защиты интеллектуальных прав в </w:t>
      </w:r>
      <w:r w:rsidRPr="00F734BA">
        <w:rPr>
          <w:rFonts w:ascii="Times New Roman" w:hAnsi="Times New Roman" w:cs="Times New Roman"/>
          <w:bCs/>
        </w:rPr>
        <w:t>информационно-телекоммуникационных сетях: федер. закон от 02.07.2013 г. № 187-ФЗ</w:t>
      </w:r>
      <w:r w:rsidRPr="00F734BA">
        <w:rPr>
          <w:rFonts w:ascii="Times New Roman" w:hAnsi="Times New Roman" w:cs="Times New Roman"/>
          <w:b/>
          <w:bCs/>
        </w:rPr>
        <w:t> </w:t>
      </w:r>
      <w:r w:rsidRPr="00F734BA">
        <w:rPr>
          <w:rFonts w:ascii="Times New Roman" w:hAnsi="Times New Roman" w:cs="Times New Roman"/>
          <w:bCs/>
        </w:rPr>
        <w:t>//</w:t>
      </w:r>
      <w:r w:rsidRPr="00F734BA">
        <w:rPr>
          <w:rFonts w:ascii="Times New Roman" w:hAnsi="Times New Roman" w:cs="Times New Roman"/>
        </w:rPr>
        <w:t xml:space="preserve"> Собр. законодательства  Рос. Федерации. – 2013.- № 27, ст. 3479.</w:t>
      </w:r>
    </w:p>
  </w:footnote>
  <w:footnote w:id="111">
    <w:p w14:paraId="7F7DD5F7" w14:textId="77777777" w:rsidR="00FD5ABB" w:rsidRPr="00F734BA"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sidRPr="00F734BA">
        <w:rPr>
          <w:rStyle w:val="a7"/>
          <w:rFonts w:ascii="Times New Roman" w:hAnsi="Times New Roman" w:cs="Times New Roman"/>
        </w:rPr>
        <w:footnoteRef/>
      </w:r>
      <w:r w:rsidRPr="00F734BA">
        <w:rPr>
          <w:rFonts w:ascii="Times New Roman" w:hAnsi="Times New Roman" w:cs="Times New Roman"/>
        </w:rPr>
        <w:t>Гражданский кодекс Российской Федерации: федер. закон от 18.12.2006г. № 230-ФЗ // Собр. законодательства  Рос. Федерации. - 2006. - № 52 (1 ч.), ст. 5496.</w:t>
      </w:r>
    </w:p>
  </w:footnote>
  <w:footnote w:id="112">
    <w:p w14:paraId="198655BA" w14:textId="77777777" w:rsidR="00FD5ABB" w:rsidRPr="00F734BA"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sidRPr="00F734BA">
        <w:rPr>
          <w:rStyle w:val="a7"/>
          <w:rFonts w:ascii="Times New Roman" w:hAnsi="Times New Roman" w:cs="Times New Roman"/>
        </w:rPr>
        <w:footnoteRef/>
      </w:r>
      <w:r w:rsidRPr="00F734BA">
        <w:rPr>
          <w:rFonts w:ascii="Times New Roman" w:hAnsi="Times New Roman" w:cs="Times New Roman"/>
        </w:rPr>
        <w:t>Гутников О.В. Гражданско-правовая ответственность в отношениях, связанных с управлением юридическими лицами: автореф. дис...д-р юрид. наук: 12.00.03. М., 2018. - 57 с.</w:t>
      </w:r>
    </w:p>
  </w:footnote>
  <w:footnote w:id="113">
    <w:p w14:paraId="519370C0" w14:textId="77777777" w:rsidR="00FD5ABB" w:rsidRPr="00F734BA"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sidRPr="00F734BA">
        <w:rPr>
          <w:rStyle w:val="a7"/>
          <w:rFonts w:ascii="Times New Roman" w:hAnsi="Times New Roman" w:cs="Times New Roman"/>
        </w:rPr>
        <w:footnoteRef/>
      </w:r>
      <w:r w:rsidRPr="00F734BA">
        <w:rPr>
          <w:rFonts w:ascii="Times New Roman" w:hAnsi="Times New Roman" w:cs="Times New Roman"/>
        </w:rPr>
        <w:t>Гульбин Ю.Т. Интеллектуальные права на результат интеллектуальной деятельности. - М.: Юрсерватум, 2014.- С.132-138.</w:t>
      </w:r>
    </w:p>
  </w:footnote>
  <w:footnote w:id="114">
    <w:p w14:paraId="205947B9" w14:textId="77777777" w:rsidR="00FD5ABB" w:rsidRPr="00F734BA"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sidRPr="00F734BA">
        <w:rPr>
          <w:rStyle w:val="a7"/>
          <w:rFonts w:ascii="Times New Roman" w:hAnsi="Times New Roman" w:cs="Times New Roman"/>
        </w:rPr>
        <w:footnoteRef/>
      </w:r>
      <w:r w:rsidRPr="00F734BA">
        <w:rPr>
          <w:rFonts w:ascii="Times New Roman" w:hAnsi="Times New Roman" w:cs="Times New Roman"/>
          <w:iCs/>
        </w:rPr>
        <w:t>Батухтина С.А.</w:t>
      </w:r>
      <w:r w:rsidRPr="00F734BA">
        <w:rPr>
          <w:rFonts w:ascii="Times New Roman" w:hAnsi="Times New Roman" w:cs="Times New Roman"/>
        </w:rPr>
        <w:t xml:space="preserve"> </w:t>
      </w:r>
      <w:hyperlink r:id="rId2" w:history="1">
        <w:r w:rsidRPr="00F734BA">
          <w:rPr>
            <w:rStyle w:val="a9"/>
            <w:rFonts w:ascii="Times New Roman" w:hAnsi="Times New Roman" w:cs="Times New Roman"/>
            <w:bCs/>
            <w:color w:val="auto"/>
          </w:rPr>
          <w:t>Вина информационных посредников и некоторые особенности юридической ответственности за нарушение ими прав интеллектуальной собственности</w:t>
        </w:r>
      </w:hyperlink>
      <w:r w:rsidRPr="00F734BA">
        <w:rPr>
          <w:rFonts w:ascii="Times New Roman" w:hAnsi="Times New Roman" w:cs="Times New Roman"/>
        </w:rPr>
        <w:t>: сборник статей XXV Международного научно-исследовательского конкурса: в 2 ч. - 2019. - С. 142-146.</w:t>
      </w:r>
    </w:p>
  </w:footnote>
  <w:footnote w:id="115">
    <w:p w14:paraId="1C21531C"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Понамарев А. А. Особенности ответственности информационного посредника по российскому законодательству // Социально-экономические и правовые проблемы современной России: материалы XV ежегодной студенческой научной конференции, состоявшейся 18 апреля 2014. - Томск, 2015. - С. 120-123.</w:t>
      </w:r>
    </w:p>
  </w:footnote>
  <w:footnote w:id="116">
    <w:p w14:paraId="457E16EA"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Городов О.А. Ответственность информационных посредников // Патенты и лицензии. Интеллектуальные права.-  2017. -  №7. - С. 2-8.</w:t>
      </w:r>
    </w:p>
    <w:p w14:paraId="1141DC43"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p>
  </w:footnote>
  <w:footnote w:id="117">
    <w:p w14:paraId="26ABB43C"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Терещенко Л.К., Тиунов О.И Информационные посредники в российском праве // Журнал зарубежного законодательства и сравнительного правоведения. - 2016. - №6. - С. 46-51.</w:t>
      </w:r>
    </w:p>
  </w:footnote>
  <w:footnote w:id="118">
    <w:p w14:paraId="242E16A0"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Еременко В. И. Совершенствование законодательства в сфере защиты интеллектуальных прав в информационно-телекоммуникационных сетях // Законодательство и экономика. - 2015. - № 8. - С. 19-28.</w:t>
      </w:r>
    </w:p>
    <w:p w14:paraId="1726ADC7"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p>
  </w:footnote>
  <w:footnote w:id="119">
    <w:p w14:paraId="41E560DE"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Об опеке и попечительстве: Федеральный закон от 24 апреля 2008 года № 48-ФЗ с изм. и доп. от 01 марта 2020 года // СЗ РФ. 2008. № 17. Ст. 1755; 2020. № 9. Ст. 1127. (далее – ФЗ № 48-ФЗ «Об опеке и попечительстве»).</w:t>
      </w:r>
    </w:p>
  </w:footnote>
  <w:footnote w:id="120">
    <w:p w14:paraId="17C1F99F"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Гринь Е.А., Хрипков И.И. Участие прокурора в защите прав несовершеннолетних в гражданском судопроизводстве // Право и государство: теория и практика. – 2019. – № 9. – С. 130-133.</w:t>
      </w:r>
    </w:p>
  </w:footnote>
  <w:footnote w:id="121">
    <w:p w14:paraId="0791FB7E"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Гражданский кодекс Российской Федерации (часть первая) от 30 ноября 1994 года № 51-ФЗ с изм. и доп. от </w:t>
      </w:r>
      <w:r>
        <w:rPr>
          <w:rFonts w:ascii="Times New Roman" w:hAnsi="Times New Roman" w:cs="Times New Roman"/>
        </w:rPr>
        <w:br/>
        <w:t>28 апреля 2020 года // СЗ РФ. 1994. № 32. Ст. 3301. (далее – ГК РФ).</w:t>
      </w:r>
    </w:p>
  </w:footnote>
  <w:footnote w:id="122">
    <w:p w14:paraId="0669C321"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Семейный кодекс Российской Федерации от 29 декабря 1995 года № 223-ФЗ с изм. и доп. от 06 февраля 2020 года // СЗ РФ. 1995. № 1. Ст. 16; 2020. № 6. Ст.589. (далее – СК РФ).</w:t>
      </w:r>
    </w:p>
  </w:footnote>
  <w:footnote w:id="123">
    <w:p w14:paraId="226F7EDD"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О защите жилищных прав несовершеннолетних: Письмо Министерства образования Российской Федерации от 02 февраля 1995 года № 09-М // Вестник образования. 1995. № 8.</w:t>
      </w:r>
    </w:p>
  </w:footnote>
  <w:footnote w:id="124">
    <w:p w14:paraId="2A62AEC4"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О дополнительных мерах защиты жилищных прав несовершеннолетних: Письмо Министерства общего и профессионального образования Российской Федерации от 09 июня 1999 года № 244/26-5 // Вестник образования. 1999. № 8.</w:t>
      </w:r>
    </w:p>
  </w:footnote>
  <w:footnote w:id="125">
    <w:p w14:paraId="26D75DCF"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О применении судами гражданского законодательства, регулирующего отношения по обязательствам вследствие причинения вреда жизни или здоровью гражданина : постановление пленума ВС РФ от 26.01.2010 № 1 // Бюллетень Верховного Суда РФ. – Март, 2010. – № 3.</w:t>
      </w:r>
    </w:p>
  </w:footnote>
  <w:footnote w:id="126">
    <w:p w14:paraId="2F36A86A"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Об отказе в принятии к рассмотрению жалобы гражданина Яновича Максима Владимировича на нарушение его конституционных прав пунктом 1 статьи 1064, пунктом 1 статьи 1079 и абзацем вторым пункта 2 статьи 1083 Гражданского кодекса Российской Федерации : определение КС РФ от 21.02.2008 № 120-О-О // СПС Консультант плюс.</w:t>
      </w:r>
    </w:p>
  </w:footnote>
  <w:footnote w:id="127">
    <w:p w14:paraId="5EE7B8A8"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Трудовой Кодекс Российской Федерации от 30.12.2001 № 197-ФЗ : в ред. от 16.12.2019 СЗ РФ. – 2002. – № 1. – Часть 1. – Ст. 3.</w:t>
      </w:r>
    </w:p>
  </w:footnote>
  <w:footnote w:id="128">
    <w:p w14:paraId="7AA3F02D"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Определение Судебной коллегии по гражданским делам Верховного Суда Карачаево-Черкесской Республики от 20.11.2013 г. по делу N 33-608/2013 // СПС Гарант</w:t>
      </w:r>
    </w:p>
  </w:footnote>
  <w:footnote w:id="129">
    <w:p w14:paraId="7E41E4CE"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Определение Судебной коллегии по гражданским делам Верховного Суда Российской Федерации от 08.07.2019 N 56-КГПР19-7 // СПС Консультант плюс</w:t>
      </w:r>
    </w:p>
  </w:footnote>
  <w:footnote w:id="130">
    <w:p w14:paraId="0EFB7508"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"Гражданский кодекс Российской Федерации (часть первая)" от 30.11.1994 N 51-ФЗ (ред. от 16.12.2019) Статья 21.</w:t>
      </w:r>
    </w:p>
  </w:footnote>
  <w:footnote w:id="131">
    <w:p w14:paraId="5FC57E75"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Акимова Светлана Борисовна, Синьков Роман Владимирович Дееспособность в гражданском праве // Наука. Общество. Государство. 2019. №1 (25). URL: https://cyberleninka.ru/article/n/deesposobnost-v-grazhdanskom-prave (дата обращения: 20.04.2020).</w:t>
      </w:r>
    </w:p>
  </w:footnote>
  <w:footnote w:id="132">
    <w:p w14:paraId="36914471"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Фомичева Надежда Валентиновна Ограничение гражданина в дееспособности: сравнительно-правовой анализ // Вестник СГЮА. 2014. №5 (100). URL: https://cyberleninka.ru/article/n/ogranichenie-grazhdanina-v-deesposobnosti-sravnitelno-pravovoy-analiz (дата обращения: 20.04.2020).-С.57-63</w:t>
      </w:r>
    </w:p>
  </w:footnote>
  <w:footnote w:id="133">
    <w:p w14:paraId="7DFB7924"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"Гражданский кодекс Российской Федерации (часть первая)" от 30.11.1994 N 51-ФЗ (ред. от 16.12.2019) Ст.30</w:t>
      </w:r>
    </w:p>
  </w:footnote>
  <w:footnote w:id="134">
    <w:p w14:paraId="33634EF8"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Дарчиева Л.В. Основания ограничения дееспособности граждан в современных условиях развития общества // Вестник экономической безопасности. 2008. №4. URL: https://cyberleninka.ru/article/n/osnovaniya-ogranicheniya-deesposobnosti-grazhdan-v-sovremennyh-usloviyah-razvitiya-obschestva (дата обращения: 20.04.2020).-С.132-134</w:t>
      </w:r>
    </w:p>
  </w:footnote>
  <w:footnote w:id="135">
    <w:p w14:paraId="03D9415C"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Там же</w:t>
      </w:r>
    </w:p>
  </w:footnote>
  <w:footnote w:id="136">
    <w:p w14:paraId="40AD21EA"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Постановление Пленума Верховного Суда РФ от 23.06.2015 № 25 «О применении судами некоторых положений раздела I части первой Гражданского кодекса Российской Федерации» // Бюллетень Верховного Суда РФ. -2015. № 8</w:t>
      </w:r>
    </w:p>
  </w:footnote>
  <w:footnote w:id="137">
    <w:p w14:paraId="4CFAF063"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А.Ю. Кулагина Ограничение дееспособности физического лица: проблематика правоприменения // Вестник МИЭП. -2015. №Конференция. URL: https://cyberleninka.ru/article/n/ogranichenie-deesposobnosti-fizicheskogo-litsa-problematika-pravoprimeneniya (дата обращения: 20.04.2020)-С.205-209</w:t>
      </w:r>
    </w:p>
  </w:footnote>
  <w:footnote w:id="138">
    <w:p w14:paraId="51E4F2C3"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0"/>
          <w:szCs w:val="20"/>
        </w:rPr>
      </w:pPr>
      <w:r>
        <w:rPr>
          <w:rStyle w:val="a7"/>
          <w:rFonts w:ascii="Times New Roman" w:hAnsi="Times New Roman" w:cs="Times New Roman"/>
          <w:sz w:val="20"/>
          <w:szCs w:val="20"/>
        </w:rPr>
        <w:footnoteRef/>
      </w:r>
      <w:r>
        <w:rPr>
          <w:rFonts w:ascii="Times New Roman" w:hAnsi="Times New Roman" w:cs="Times New Roman"/>
          <w:sz w:val="20"/>
          <w:szCs w:val="20"/>
        </w:rPr>
        <w:t xml:space="preserve"> "Гражданский процессуальный кодекс Российской Федерации" от 14.11.2002 N 138-ФЗ (ред. от 02.12.2019) (с изм. и доп., вступ. в силу с 30.03.2020)</w:t>
      </w:r>
    </w:p>
  </w:footnote>
  <w:footnote w:id="139">
    <w:p w14:paraId="5741F2CA"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Там же</w:t>
      </w:r>
    </w:p>
  </w:footnote>
  <w:footnote w:id="140">
    <w:p w14:paraId="180C01F5"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Гражданский кодекс Российской Федерации (часть первая): федеральный закон от 30.11.1994 № 51-ФЗ (ред. от 16.12.2019) // Собрание законодательства РФ. – 1994. – № 32. – Ст. 3301.</w:t>
      </w:r>
    </w:p>
  </w:footnote>
  <w:footnote w:id="141">
    <w:p w14:paraId="0351CFC3" w14:textId="303A0879" w:rsidR="00FD5ABB" w:rsidRPr="00C446B3" w:rsidRDefault="00FD5ABB" w:rsidP="00C446B3">
      <w:pPr>
        <w:pStyle w:val="a5"/>
        <w:jc w:val="both"/>
        <w:rPr>
          <w:rFonts w:ascii="Times New Roman" w:hAnsi="Times New Roman" w:cs="Times New Roman"/>
        </w:rPr>
      </w:pPr>
      <w:r w:rsidRPr="00C446B3">
        <w:rPr>
          <w:rStyle w:val="a7"/>
          <w:rFonts w:ascii="Times New Roman" w:hAnsi="Times New Roman" w:cs="Times New Roman"/>
        </w:rPr>
        <w:footnoteRef/>
      </w:r>
      <w:r w:rsidRPr="00C446B3">
        <w:rPr>
          <w:rFonts w:ascii="Times New Roman" w:hAnsi="Times New Roman" w:cs="Times New Roman"/>
        </w:rPr>
        <w:t xml:space="preserve"> Поленов Р.В., Камышанский В.П. Источники гражданско-правового регулирования отношений недропользования // Актуальные проблемы гражданского и предпринимательского права. - 2016. – С. 64.</w:t>
      </w:r>
    </w:p>
  </w:footnote>
  <w:footnote w:id="142">
    <w:p w14:paraId="1FB3CDED"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Российское гражданское право: Учебник: В 2 т. Т. I: Общая часть. Вещное право. Наследственное право. Интеллектуальные права. Личные неимущественные права / Отв. ред. Е.А. Суханов. – 2-е изд., стереотип. – М.: Статут, 2011. – С. 496.</w:t>
      </w:r>
    </w:p>
  </w:footnote>
  <w:footnote w:id="143">
    <w:p w14:paraId="4FEFC03C"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Дешина А.С. Система ограниченных вещных прав в современном гражданском праве // Новая наука: теоретический и практический взгляд. – 2017. – № 2-2. – С. 128.</w:t>
      </w:r>
    </w:p>
  </w:footnote>
  <w:footnote w:id="144">
    <w:p w14:paraId="3BAE8E0C"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Ахметьянова З.А. О видах вещных прав и их системе // Ученые записки Казанского университета. Серия: Гуманитарные науки. – 2011. – № 4. – С. 88.</w:t>
      </w:r>
    </w:p>
  </w:footnote>
  <w:footnote w:id="145">
    <w:p w14:paraId="328C2A71"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Определение Верховного Суда Российской Федерации от 14.11.2014 по делу № 305-ЭС14-442; А40-17110/2013 // Банк решений арбитражных судов. Режим доступа: https://ras.arbitr.ru/</w:t>
      </w:r>
    </w:p>
  </w:footnote>
  <w:footnote w:id="146">
    <w:p w14:paraId="464500D9"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Постановление Семнадцатого арбитражного апелляционного суда от 04.06.2007 по делу № А60-34906/2006-С9 // Банк решений арбитражных судов. Режим доступа: https://ras.arbitr.ru/</w:t>
      </w:r>
    </w:p>
  </w:footnote>
  <w:footnote w:id="147">
    <w:p w14:paraId="603E6FD4"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Батурин В.А. Система ограниченных вещных прав в современном гражданском законодательстве: Автореф. дис. к.ю.н. – Краснодар, 2009. – С. 21-22.</w:t>
      </w:r>
    </w:p>
  </w:footnote>
  <w:footnote w:id="148">
    <w:p w14:paraId="5655008A"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Камышанский В.П., Зелюка П.А., Иванов С.А. Суперфиций и эмфитевзис в гражданском праве: история и современность // Общество и право. – 2011. – № 3. – С. 106.</w:t>
      </w:r>
    </w:p>
  </w:footnote>
  <w:footnote w:id="149">
    <w:p w14:paraId="160296E3"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Концепция развития гражданского законодательства Российской Федерации: одобрена решением Совета при Президенте РФ по кодификации и совершенствованию гражданского законодательства от 07.10.2009 // Вестник ВАС РФ. – 2009. – № 11.</w:t>
      </w:r>
    </w:p>
  </w:footnote>
  <w:footnote w:id="150">
    <w:p w14:paraId="7C633364"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Земельный кодекс Российской Федерации: федеральный закон от 25.10.2001 № 136-ФЗ (ред. от 18.03.2020) // Собрание законодательства РФ. – 2001. – № 44. – Ст. 4147.</w:t>
      </w:r>
    </w:p>
  </w:footnote>
  <w:footnote w:id="151">
    <w:p w14:paraId="04B774A0"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Романова О.А. Развитие земельного законодательства: вопросы теории и практики // Lex russica. – 2016. – № 6. – С. 137.</w:t>
      </w:r>
    </w:p>
  </w:footnote>
  <w:footnote w:id="152">
    <w:p w14:paraId="0D01C3D1"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Апелляционное определение Ставропольского краевого суда от 29.06.2016 по делу № 33-4464/2016 // Сайт Ставропольского краевого суда. Режим доступа: http://kraevoy.stv.sudrf.ru/</w:t>
      </w:r>
    </w:p>
  </w:footnote>
  <w:footnote w:id="153">
    <w:p w14:paraId="17C1EA6A"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Джадан Е.И. Законодательное регулирование права пожизненного наследуемого владения // Гражданское законодательство РФ: современное состояние, тенденции и перспективы развития. Сборник научно-практических статей II Международной научно-практической конференции. – 2017. – С. 73.</w:t>
      </w:r>
    </w:p>
  </w:footnote>
  <w:footnote w:id="154">
    <w:p w14:paraId="054AB4E9"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Об обороте земель сельскохозяйственного назначения: федеральный закон от 24.07.2002 № 101-ФЗ (ред. от 06.06.2019) // Собрание законодательства РФ. – 2002. – № 30. – Ст. 3018.</w:t>
      </w:r>
    </w:p>
  </w:footnote>
  <w:footnote w:id="155">
    <w:p w14:paraId="1E0AFE4D"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Салтыков Н.А., Новикова С.В. Особенности развития института права постоянного (бессрочного) пользования земельным участком в гражданском праве России // Гражданское законодательство РФ: современное состояние, тенденции и перспективы развития. Сборник научно-практических статей II Международной научно-практической конференции. – 2017. – С. 157.</w:t>
      </w:r>
    </w:p>
  </w:footnote>
  <w:footnote w:id="156">
    <w:p w14:paraId="26CA9788"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Гайбатова К.Д., Айгумова М.М. Сервитуты в российском гражданском праве // Государственная служба и кадры. – 2019. – № 1. – С. 79.</w:t>
      </w:r>
    </w:p>
  </w:footnote>
  <w:footnote w:id="157">
    <w:p w14:paraId="452401CA"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Гражданское право. В 2 ч. Ч. 1 : учебник для студентов вузов, обучающихся по направлению «Юриспруденция» / под редакцией В.П. Камышанского, Н.М. Коршунова, В.И. Иванова. – М.: ЮНИТИ-ДАНА, 2017. – С. 345.</w:t>
      </w:r>
    </w:p>
  </w:footnote>
  <w:footnote w:id="158">
    <w:p w14:paraId="116583DE"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Краснова Т.С. Отрицательный сервитут в российском праве // Ленинградский юридический журнал. – 2017. – № 1. – С. 109-111.</w:t>
      </w:r>
    </w:p>
  </w:footnote>
  <w:footnote w:id="159">
    <w:p w14:paraId="7E809B2F"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Афанасьев И.В. Сервитут в системе ограниченных вещных прав: Автореф. дис. к.ю.н. – М., 2015. – С. 24.</w:t>
      </w:r>
    </w:p>
  </w:footnote>
  <w:footnote w:id="160">
    <w:p w14:paraId="26CE5B7A"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Кофе с молотком. В Гражданском кодексе пропишут правила для соседей по квартире и даче // Российская газета. Режим доступа: https://rg.ru/2020/04/19/pavel-krasheninnikov-uvazhenie-sosedej-dolzhno-byt-oboiudnym.html (дата обращения: 05.05.2020)</w:t>
      </w:r>
    </w:p>
  </w:footnote>
  <w:footnote w:id="161">
    <w:p w14:paraId="55982578"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i/>
        </w:rPr>
        <w:t>Суханов Е. А</w:t>
      </w:r>
      <w:r>
        <w:rPr>
          <w:rFonts w:ascii="Times New Roman" w:hAnsi="Times New Roman" w:cs="Times New Roman"/>
        </w:rPr>
        <w:t>. Вещное право: научно-познавательный очерк / Е. А. Суханов. ‒ М.: Статут, 2017. — 560 с.</w:t>
      </w:r>
    </w:p>
  </w:footnote>
  <w:footnote w:id="162">
    <w:p w14:paraId="2E71D54C" w14:textId="3C8A4861" w:rsidR="00FD5ABB" w:rsidRPr="008A73CF" w:rsidRDefault="00FD5ABB" w:rsidP="008A73CF">
      <w:pPr>
        <w:pStyle w:val="a5"/>
        <w:jc w:val="both"/>
        <w:rPr>
          <w:rFonts w:ascii="Times New Roman" w:hAnsi="Times New Roman" w:cs="Times New Roman"/>
        </w:rPr>
      </w:pPr>
      <w:r w:rsidRPr="008A73CF">
        <w:rPr>
          <w:rStyle w:val="a7"/>
          <w:rFonts w:ascii="Times New Roman" w:hAnsi="Times New Roman" w:cs="Times New Roman"/>
        </w:rPr>
        <w:footnoteRef/>
      </w:r>
      <w:r w:rsidRPr="008A73CF">
        <w:rPr>
          <w:rFonts w:ascii="Times New Roman" w:hAnsi="Times New Roman" w:cs="Times New Roman"/>
        </w:rPr>
        <w:t xml:space="preserve"> </w:t>
      </w:r>
      <w:r w:rsidRPr="008A73CF">
        <w:rPr>
          <w:rFonts w:ascii="Times New Roman" w:hAnsi="Times New Roman" w:cs="Times New Roman"/>
          <w:i/>
        </w:rPr>
        <w:t>Ховрина Л.В., Поленов Р.В.</w:t>
      </w:r>
      <w:r w:rsidRPr="008A73CF">
        <w:rPr>
          <w:rFonts w:ascii="Times New Roman" w:hAnsi="Times New Roman" w:cs="Times New Roman"/>
        </w:rPr>
        <w:t xml:space="preserve"> Источники правового регулирования недропользования // Власть закона. – 2016. – С. 131.</w:t>
      </w:r>
    </w:p>
  </w:footnote>
  <w:footnote w:id="163">
    <w:p w14:paraId="48E257BE"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i/>
        </w:rPr>
        <w:t>Формакидов Д. А.</w:t>
      </w:r>
      <w:r>
        <w:rPr>
          <w:rFonts w:ascii="Times New Roman" w:hAnsi="Times New Roman" w:cs="Times New Roman"/>
        </w:rPr>
        <w:t xml:space="preserve"> Вещное право : учебное пособие / 2-е изд., доп. — Москва : ИНФРА-М, 2020. — С. 107 – (Высшее образование: Бакалавриат).</w:t>
      </w:r>
    </w:p>
  </w:footnote>
  <w:footnote w:id="164">
    <w:p w14:paraId="2E4CE420"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i/>
        </w:rPr>
        <w:t xml:space="preserve">Гайбатова К. Д., Айгумова </w:t>
      </w:r>
      <w:r>
        <w:rPr>
          <w:rFonts w:ascii="Times New Roman" w:hAnsi="Times New Roman" w:cs="Times New Roman"/>
        </w:rPr>
        <w:t>Сервитуты в российском гражданском праве // Государственная служба и кадры. – 2019. – №1. – С. 76 – 80.</w:t>
      </w:r>
    </w:p>
  </w:footnote>
  <w:footnote w:id="165">
    <w:p w14:paraId="56D859C5"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i/>
        </w:rPr>
        <w:t>Пестов М.М.</w:t>
      </w:r>
      <w:r>
        <w:rPr>
          <w:rFonts w:ascii="Times New Roman" w:hAnsi="Times New Roman" w:cs="Times New Roman"/>
        </w:rPr>
        <w:t xml:space="preserve"> К вопросу о способах установления сервитута // Эволюция российского права: Сб. ст. XVI Междунар. науч. конф. молодых ученых и студентов. – 2018. –  С. 183—185.</w:t>
      </w:r>
    </w:p>
  </w:footnote>
  <w:footnote w:id="166">
    <w:p w14:paraId="44F8B29B"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i/>
        </w:rPr>
        <w:t>Юсибов Г.Б</w:t>
      </w:r>
      <w:r>
        <w:rPr>
          <w:rFonts w:ascii="Times New Roman" w:hAnsi="Times New Roman" w:cs="Times New Roman"/>
        </w:rPr>
        <w:t>. Понятие и юридическая природа сервитута // Вестник Владимирского института. – 2010. – № 3 (16). –  С. 178—184.</w:t>
      </w:r>
    </w:p>
  </w:footnote>
  <w:footnote w:id="167">
    <w:p w14:paraId="13E8CE8F"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Вещное право : учебное пособие / Д.А. Формакидов. — 2-е изд., доп. — Москва : ИНФРА-М, 2020. — С. 136  – (Высшее образование: Бакалавриат).</w:t>
      </w:r>
    </w:p>
  </w:footnote>
  <w:footnote w:id="168">
    <w:p w14:paraId="65490D27"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i/>
        </w:rPr>
        <w:t>Формакидов Д. А.</w:t>
      </w:r>
      <w:r>
        <w:rPr>
          <w:rFonts w:ascii="Times New Roman" w:hAnsi="Times New Roman" w:cs="Times New Roman"/>
        </w:rPr>
        <w:t xml:space="preserve"> Вещное право : учебное пособие / 2-е изд., доп. — Москва : ИНФРА-М, 2020. — </w:t>
      </w:r>
      <w:r>
        <w:rPr>
          <w:rFonts w:ascii="Times New Roman" w:hAnsi="Times New Roman" w:cs="Times New Roman"/>
          <w:lang w:val="en-US"/>
        </w:rPr>
        <w:t>C</w:t>
      </w:r>
      <w:r>
        <w:rPr>
          <w:rFonts w:ascii="Times New Roman" w:hAnsi="Times New Roman" w:cs="Times New Roman"/>
        </w:rPr>
        <w:t>. 136  – (Высшее образование: Бакалавриат).</w:t>
      </w:r>
    </w:p>
  </w:footnote>
  <w:footnote w:id="169">
    <w:p w14:paraId="3E8A7CC4"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Гражданское право: учебник: в 2 т. / отв. ред. Е.А. Суханов. М.: БЕК, 2000.  Т. 2, полутом 1. –  С. 140.</w:t>
      </w:r>
    </w:p>
  </w:footnote>
  <w:footnote w:id="170">
    <w:p w14:paraId="61E13EBF"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Шершеневич Г.Ф. Учебник русского гражданского права. М., 1995. С. 57.</w:t>
      </w:r>
    </w:p>
  </w:footnote>
  <w:footnote w:id="171">
    <w:p w14:paraId="19311389"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Гамбаров Ю. С. Гражданское право. Общая часть / под ред. В. А. Томсинова. – М.: Зерцало, 2003. – С. 380.</w:t>
      </w:r>
    </w:p>
  </w:footnote>
  <w:footnote w:id="172">
    <w:p w14:paraId="0AC722B3" w14:textId="77777777" w:rsidR="00FD5ABB" w:rsidRDefault="00FD5ABB" w:rsidP="001B6C3B">
      <w:pPr>
        <w:pStyle w:val="Defaul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auto"/>
          <w:sz w:val="20"/>
          <w:szCs w:val="20"/>
        </w:rPr>
      </w:pPr>
      <w:r>
        <w:rPr>
          <w:rStyle w:val="a7"/>
          <w:color w:val="auto"/>
          <w:sz w:val="20"/>
          <w:szCs w:val="20"/>
        </w:rPr>
        <w:footnoteRef/>
      </w:r>
      <w:r>
        <w:rPr>
          <w:color w:val="auto"/>
          <w:sz w:val="20"/>
          <w:szCs w:val="20"/>
        </w:rPr>
        <w:t xml:space="preserve"> Овсейко С.В. Юридическая природа электронных денег // Юрист. 2007. № 9. С. 30–36. </w:t>
      </w:r>
    </w:p>
  </w:footnote>
  <w:footnote w:id="173">
    <w:p w14:paraId="148ADBC9"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0"/>
          <w:szCs w:val="20"/>
        </w:rPr>
      </w:pPr>
      <w:r>
        <w:rPr>
          <w:rFonts w:ascii="Times New Roman" w:hAnsi="Times New Roman" w:cs="Times New Roman"/>
          <w:sz w:val="20"/>
          <w:szCs w:val="20"/>
        </w:rPr>
        <w:footnoteRef/>
      </w:r>
      <w:r>
        <w:rPr>
          <w:rFonts w:ascii="Times New Roman" w:hAnsi="Times New Roman" w:cs="Times New Roman"/>
          <w:sz w:val="20"/>
          <w:szCs w:val="20"/>
        </w:rPr>
        <w:t xml:space="preserve"> О национальной платежной системе: федер. закон от 27 июня 2011 г. №161-ФЗ // Собр. законодательства Рос. Федерации. - 2011. - №27, ст. 3872.</w:t>
      </w:r>
    </w:p>
  </w:footnote>
  <w:footnote w:id="174">
    <w:p w14:paraId="2E1E6EAF"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Гражданский Кодекс Российской Федерации (часть первая) : федер. закон от 30.11.1994 №51-ФЗ : в ред. от 16.12.2019 // СЗ РФ. - 1994. - №32. - Ст.3301.</w:t>
      </w:r>
    </w:p>
  </w:footnote>
  <w:footnote w:id="175">
    <w:p w14:paraId="6089000C"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Гражданское право: учебник: в 2 т. / отв. ред. проф. Е.А. Суханов. 2-е изд., перераб. и доп. М., 1998. Т. 1.</w:t>
      </w:r>
    </w:p>
  </w:footnote>
  <w:footnote w:id="176">
    <w:p w14:paraId="02D3A959"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Гражданское право. В 2 ч.  / Под ред. Камышанского В.П., Коршунова Н.М., Иванова В.И. // М.: 2012. — Ч.1 - 543с.</w:t>
      </w:r>
    </w:p>
  </w:footnote>
  <w:footnote w:id="177">
    <w:p w14:paraId="0D147EC5"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Зубарева, О. Г. Владение и его конструкции в гражданском законодательстве Российской Федерации: Дис. ... канд. юрид. наук. — Ростов-на-Дону, 2003. — 158 с.</w:t>
      </w:r>
    </w:p>
  </w:footnote>
  <w:footnote w:id="178">
    <w:p w14:paraId="66501153"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Апелляционное определение Омского областного суда от 4 июня 2014 г. по делу № 33-2968/14. </w:t>
      </w:r>
      <w:r>
        <w:rPr>
          <w:rFonts w:ascii="Times New Roman" w:hAnsi="Times New Roman" w:cs="Times New Roman"/>
          <w:lang w:val="en-US"/>
        </w:rPr>
        <w:t>URL</w:t>
      </w:r>
      <w:r>
        <w:rPr>
          <w:rFonts w:ascii="Times New Roman" w:hAnsi="Times New Roman" w:cs="Times New Roman"/>
        </w:rPr>
        <w:t xml:space="preserve">: </w:t>
      </w:r>
      <w:r>
        <w:rPr>
          <w:rFonts w:ascii="Times New Roman" w:hAnsi="Times New Roman" w:cs="Times New Roman"/>
          <w:lang w:val="en-US"/>
        </w:rPr>
        <w:t>http</w:t>
      </w:r>
      <w:r>
        <w:rPr>
          <w:rFonts w:ascii="Times New Roman" w:hAnsi="Times New Roman" w:cs="Times New Roman"/>
        </w:rPr>
        <w:t>://</w:t>
      </w:r>
      <w:r>
        <w:rPr>
          <w:rFonts w:ascii="Times New Roman" w:hAnsi="Times New Roman" w:cs="Times New Roman"/>
          <w:lang w:val="en-US"/>
        </w:rPr>
        <w:t>www</w:t>
      </w:r>
      <w:r>
        <w:rPr>
          <w:rFonts w:ascii="Times New Roman" w:hAnsi="Times New Roman" w:cs="Times New Roman"/>
        </w:rPr>
        <w:t>.</w:t>
      </w:r>
      <w:r>
        <w:rPr>
          <w:rFonts w:ascii="Times New Roman" w:hAnsi="Times New Roman" w:cs="Times New Roman"/>
          <w:lang w:val="en-US"/>
        </w:rPr>
        <w:t>consultant</w:t>
      </w:r>
      <w:r>
        <w:rPr>
          <w:rFonts w:ascii="Times New Roman" w:hAnsi="Times New Roman" w:cs="Times New Roman"/>
        </w:rPr>
        <w:t>.</w:t>
      </w:r>
      <w:r>
        <w:rPr>
          <w:rFonts w:ascii="Times New Roman" w:hAnsi="Times New Roman" w:cs="Times New Roman"/>
          <w:lang w:val="en-US"/>
        </w:rPr>
        <w:t>ru</w:t>
      </w:r>
      <w:r>
        <w:rPr>
          <w:rFonts w:ascii="Times New Roman" w:hAnsi="Times New Roman" w:cs="Times New Roman"/>
        </w:rPr>
        <w:t>/</w:t>
      </w:r>
      <w:r>
        <w:rPr>
          <w:rFonts w:ascii="Times New Roman" w:hAnsi="Times New Roman" w:cs="Times New Roman"/>
          <w:lang w:val="en-US"/>
        </w:rPr>
        <w:t>document</w:t>
      </w:r>
      <w:r>
        <w:rPr>
          <w:rFonts w:ascii="Times New Roman" w:hAnsi="Times New Roman" w:cs="Times New Roman"/>
        </w:rPr>
        <w:t>/</w:t>
      </w:r>
      <w:r>
        <w:rPr>
          <w:rFonts w:ascii="Times New Roman" w:hAnsi="Times New Roman" w:cs="Times New Roman"/>
          <w:lang w:val="en-US"/>
        </w:rPr>
        <w:t>cons</w:t>
      </w:r>
      <w:r>
        <w:rPr>
          <w:rFonts w:ascii="Times New Roman" w:hAnsi="Times New Roman" w:cs="Times New Roman"/>
        </w:rPr>
        <w:t xml:space="preserve">_ </w:t>
      </w:r>
      <w:r>
        <w:rPr>
          <w:rFonts w:ascii="Times New Roman" w:hAnsi="Times New Roman" w:cs="Times New Roman"/>
          <w:lang w:val="en-US"/>
        </w:rPr>
        <w:t>doc</w:t>
      </w:r>
      <w:r>
        <w:rPr>
          <w:rFonts w:ascii="Times New Roman" w:hAnsi="Times New Roman" w:cs="Times New Roman"/>
        </w:rPr>
        <w:t>_</w:t>
      </w:r>
      <w:r>
        <w:rPr>
          <w:rFonts w:ascii="Times New Roman" w:hAnsi="Times New Roman" w:cs="Times New Roman"/>
          <w:lang w:val="en-US"/>
        </w:rPr>
        <w:t>LAW</w:t>
      </w:r>
      <w:r>
        <w:rPr>
          <w:rFonts w:ascii="Times New Roman" w:hAnsi="Times New Roman" w:cs="Times New Roman"/>
        </w:rPr>
        <w:t>_113887/</w:t>
      </w:r>
      <w:r>
        <w:rPr>
          <w:rFonts w:ascii="Times New Roman" w:hAnsi="Times New Roman" w:cs="Times New Roman"/>
          <w:lang w:val="en-US"/>
        </w:rPr>
        <w:t>html</w:t>
      </w:r>
    </w:p>
  </w:footnote>
  <w:footnote w:id="179">
    <w:p w14:paraId="28B5921C"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Определение Пермского краевого суда от 26.10.2015 по делу № 33-11179.</w:t>
      </w:r>
    </w:p>
  </w:footnote>
  <w:footnote w:id="180">
    <w:p w14:paraId="58B2F51E"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Решение Арбитражного суда Республики Татарстан от 26 октября 2016 года по делу №А65-8980/2016.</w:t>
      </w:r>
    </w:p>
  </w:footnote>
  <w:footnote w:id="181">
    <w:p w14:paraId="64725B89"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Постановление Пленума Верховного Суда РФ и Пленума Высшего Арбитражного Суда РФ от 29.04. 2010 № 10/22 «О некоторых вопросах, возникающих в судебной практике при разрешении споров, связанных с защитой права собственности и иных вещных прав» // Российская газета. – 2010. – № 109.</w:t>
      </w:r>
    </w:p>
  </w:footnote>
  <w:footnote w:id="182">
    <w:p w14:paraId="122E763B"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Шигонина Л.А., Бабаян К.В., Скорицкая О.Д. Особенности содержания и применения виндикационного иска // Таврический научный обозреватель. 2017. №5 (22). URL: https://cyberleninka.ru/article/n/osobennosti-soderzhaniya-i-primeneniya-vindikatsionnogo-iska (дата обращения: 13.05.2020).</w:t>
      </w:r>
    </w:p>
  </w:footnote>
  <w:footnote w:id="183">
    <w:p w14:paraId="1B7A78A6"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Новоселова А. А., Подшивалов Т. П. Виндикационный иск: проблемы элементного состава // Вестник ЮУрГУ. Серия: Право. 2008. №8 (108). URL: https://cyberleninka.ru/article/n/vindikatsionnyy-isk-problemy-elementnogo-sostava (дата обращения: 11.05.2020).</w:t>
      </w:r>
    </w:p>
  </w:footnote>
  <w:footnote w:id="184">
    <w:p w14:paraId="44732928"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i/>
        </w:rPr>
        <w:t>Гетенева М.С.</w:t>
      </w:r>
      <w:r>
        <w:rPr>
          <w:rFonts w:ascii="Times New Roman" w:hAnsi="Times New Roman" w:cs="Times New Roman"/>
        </w:rPr>
        <w:t xml:space="preserve"> Правовая природа реорганизации юридических лиц, виды реорганизации // Таврический научный обозреватель. – 2016. - № 11. – С. 78-84.</w:t>
      </w:r>
    </w:p>
  </w:footnote>
  <w:footnote w:id="185">
    <w:p w14:paraId="10FECDDC"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i/>
        </w:rPr>
        <w:t>Ординян П.А., Рубанов</w:t>
      </w:r>
      <w:r>
        <w:rPr>
          <w:rFonts w:ascii="Times New Roman" w:hAnsi="Times New Roman" w:cs="Times New Roman"/>
        </w:rPr>
        <w:t xml:space="preserve"> С.А. Теоретические положения об институте реорганизации юридических лиц: понятие, виды, правовая характеристика // Актуальные исследования. – 2019. - № 1. – С. 32-34.</w:t>
      </w:r>
    </w:p>
  </w:footnote>
  <w:footnote w:id="186">
    <w:p w14:paraId="1A2C1ABC"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t>1</w:t>
      </w:r>
      <w:r>
        <w:rPr>
          <w:rFonts w:ascii="Times New Roman" w:hAnsi="Times New Roman" w:cs="Times New Roman"/>
        </w:rPr>
        <w:t xml:space="preserve"> </w:t>
      </w:r>
      <w:r>
        <w:rPr>
          <w:rFonts w:ascii="Times New Roman" w:hAnsi="Times New Roman" w:cs="Times New Roman"/>
          <w:i/>
        </w:rPr>
        <w:t>Юкша Я.А</w:t>
      </w:r>
      <w:r>
        <w:rPr>
          <w:rFonts w:ascii="Times New Roman" w:hAnsi="Times New Roman" w:cs="Times New Roman"/>
        </w:rPr>
        <w:t>. Гражданское право: учебное пособие. – Москва: РОАР ИНФРА-М, 2011. С. 40-41.</w:t>
      </w:r>
    </w:p>
  </w:footnote>
  <w:footnote w:id="187">
    <w:p w14:paraId="290A5F69"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i/>
        </w:rPr>
        <w:t>Габов А.В.</w:t>
      </w:r>
      <w:r>
        <w:rPr>
          <w:rFonts w:ascii="Times New Roman" w:hAnsi="Times New Roman" w:cs="Times New Roman"/>
        </w:rPr>
        <w:t xml:space="preserve"> Юридические лица в российском гражданском праве: Монография. – Москва: ИНФРА-М, 2015. – С. 92-112.</w:t>
      </w:r>
    </w:p>
  </w:footnote>
  <w:footnote w:id="188">
    <w:p w14:paraId="0DFB1311"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Терехова Л.А. Система пересмотра судебных актов в механизме судебной защиты. М., 2007. - С. 16.</w:t>
      </w:r>
    </w:p>
  </w:footnote>
  <w:footnote w:id="189">
    <w:p w14:paraId="7417376F"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Треушников М.К. Судебные доказательства. М.: Издательский дом «Городец», 2005.С. - 46.</w:t>
      </w:r>
    </w:p>
  </w:footnote>
  <w:footnote w:id="190">
    <w:p w14:paraId="39B6895F"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Елисеев Н.Г. Раскрытие доказательств // Закон. 2014. N 10. - С. 38 - 44.</w:t>
      </w:r>
    </w:p>
  </w:footnote>
  <w:footnote w:id="191">
    <w:p w14:paraId="2AC0D8A8"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Лукьянова И.Н. Доказательства в арбитражном процессе: Дис. ... канд. юрид. наук. М, 2003. - С.3,5-6, 17-18.</w:t>
      </w:r>
    </w:p>
    <w:p w14:paraId="43446206"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p>
    <w:p w14:paraId="3171547A"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p>
  </w:footnote>
  <w:footnote w:id="192">
    <w:p w14:paraId="63C28D0E"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t>1</w:t>
      </w:r>
      <w:r>
        <w:rPr>
          <w:rFonts w:ascii="Times New Roman" w:hAnsi="Times New Roman" w:cs="Times New Roman"/>
        </w:rPr>
        <w:t xml:space="preserve"> Постановление Пленума ВАС РФ от 20.12.2006 г. № 65 «О подготовке дела к судебному разбирательству» // Вестник ВАС РФ. 2007.  - № 4.</w:t>
      </w:r>
    </w:p>
  </w:footnote>
  <w:footnote w:id="193">
    <w:p w14:paraId="39AA4FE4"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t>2</w:t>
      </w:r>
      <w:r>
        <w:rPr>
          <w:rFonts w:ascii="Times New Roman" w:hAnsi="Times New Roman" w:cs="Times New Roman"/>
        </w:rPr>
        <w:t xml:space="preserve"> Кадлец В.А., Зеленская Л.А. К вопросу о доказывании отрицательных фактов // Научное обеспечение агропромышленного комплекса. Сборник статей по материалам Х Всероссийской конференции молодых учёных, посвящённой 120-летию  И.С.Косенко. Отв. за вып. А.Г.Кощаев. 2017. - С.778-779.</w:t>
      </w:r>
    </w:p>
    <w:p w14:paraId="55C7B6B1"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p>
  </w:footnote>
  <w:footnote w:id="194">
    <w:p w14:paraId="69B88E79"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П. 1, ст. 3 Конституция Российской Федерации. (Герб, гимн, флаг) СПб, ООО “Виктория плюс”. 2020.</w:t>
      </w:r>
    </w:p>
  </w:footnote>
  <w:footnote w:id="195">
    <w:p w14:paraId="683EA08E"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П. 1, ст. 124 Гражданский кодекс Российской Федерации (часть первая) от 30.11.1994 N 51-ФЗ (ред. от 16.12.2019).</w:t>
      </w:r>
    </w:p>
  </w:footnote>
  <w:footnote w:id="196">
    <w:p w14:paraId="45A2574E"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Гражданский кодекс Р. С. Ф. С. Р. 1922 года// СУ Р. С. Ф. С. Р. 1922, № 71, Ст. 904.  </w:t>
      </w:r>
      <w:r>
        <w:rPr>
          <w:rFonts w:ascii="Times New Roman" w:hAnsi="Times New Roman" w:cs="Times New Roman"/>
          <w:lang w:val="en-US"/>
        </w:rPr>
        <w:t>https</w:t>
      </w:r>
      <w:r>
        <w:rPr>
          <w:rFonts w:ascii="Times New Roman" w:hAnsi="Times New Roman" w:cs="Times New Roman"/>
        </w:rPr>
        <w:t>: //</w:t>
      </w:r>
      <w:r>
        <w:rPr>
          <w:rFonts w:ascii="Times New Roman" w:hAnsi="Times New Roman" w:cs="Times New Roman"/>
          <w:lang w:val="en-US"/>
        </w:rPr>
        <w:t>ru</w:t>
      </w:r>
      <w:r>
        <w:rPr>
          <w:rFonts w:ascii="Times New Roman" w:hAnsi="Times New Roman" w:cs="Times New Roman"/>
        </w:rPr>
        <w:t>.</w:t>
      </w:r>
      <w:r>
        <w:rPr>
          <w:rFonts w:ascii="Times New Roman" w:hAnsi="Times New Roman" w:cs="Times New Roman"/>
          <w:lang w:val="en-US"/>
        </w:rPr>
        <w:t>wikisource</w:t>
      </w:r>
      <w:r>
        <w:rPr>
          <w:rFonts w:ascii="Times New Roman" w:hAnsi="Times New Roman" w:cs="Times New Roman"/>
        </w:rPr>
        <w:t>.</w:t>
      </w:r>
      <w:r>
        <w:rPr>
          <w:rFonts w:ascii="Times New Roman" w:hAnsi="Times New Roman" w:cs="Times New Roman"/>
          <w:lang w:val="en-US"/>
        </w:rPr>
        <w:t>org</w:t>
      </w:r>
      <w:r>
        <w:rPr>
          <w:rFonts w:ascii="Times New Roman" w:hAnsi="Times New Roman" w:cs="Times New Roman"/>
        </w:rPr>
        <w:t>/</w:t>
      </w:r>
      <w:r>
        <w:rPr>
          <w:rFonts w:ascii="Times New Roman" w:hAnsi="Times New Roman" w:cs="Times New Roman"/>
          <w:lang w:val="en-US"/>
        </w:rPr>
        <w:t>wiki</w:t>
      </w:r>
      <w:r>
        <w:rPr>
          <w:rFonts w:ascii="Times New Roman" w:hAnsi="Times New Roman" w:cs="Times New Roman"/>
        </w:rPr>
        <w:t>/Гражданский_кодексРСФСР_(1922).</w:t>
      </w:r>
    </w:p>
  </w:footnote>
  <w:footnote w:id="197">
    <w:p w14:paraId="7FFC1E81"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Усков О. Самостоятельная правосубъектность государственных органов и ответственность государства по обязательствам из договора// Хозяйство и право. 2003 № 9 – С. 105 – 112.</w:t>
      </w:r>
    </w:p>
  </w:footnote>
  <w:footnote w:id="198">
    <w:p w14:paraId="062B2C89"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Гражданское право/ под общ. ред. Т. И. Илларионовой. М., 1998 – С. 140.</w:t>
      </w:r>
    </w:p>
  </w:footnote>
  <w:footnote w:id="199">
    <w:p w14:paraId="41582603"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Гражданское право России/ под ред. О. Н. Садикова. М., 1996 – С. 112.</w:t>
      </w:r>
    </w:p>
  </w:footnote>
  <w:footnote w:id="200">
    <w:p w14:paraId="6DB71B4D"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Толстой Ю. К. Гражданское право и гражданское законодательство// Правоведение. 1998. № 2 – С. 128 – 149.</w:t>
      </w:r>
    </w:p>
  </w:footnote>
  <w:footnote w:id="201">
    <w:p w14:paraId="249F4D7D"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Ч. 2, ст. 1116 Гражданский кодекс Российской Федерации (часть первая) от 30.11.1994 N 51-ФЗ (ред. от 16.12.2019).</w:t>
      </w:r>
    </w:p>
  </w:footnote>
  <w:footnote w:id="202">
    <w:p w14:paraId="0E6C7946"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Ст. 123. 22 Гражданский кодекс Российской Федерации (часть первая) от 30.11.1994 N 51-ФЗ (ред. от 16.12.2019).</w:t>
      </w:r>
    </w:p>
  </w:footnote>
  <w:footnote w:id="203">
    <w:p w14:paraId="72752321"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П. 2, ст. 124 Гражданский кодекс Российской Федерации (часть первая) от 30.11.1994 N 51-ФЗ (ред. от 16.12.2019).</w:t>
      </w:r>
    </w:p>
  </w:footnote>
  <w:footnote w:id="204">
    <w:p w14:paraId="12D1ABBE"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Информационное письмо Высшего Арбитражного Суда Российской Федерации от 30 июня 1993 г. № С – 13/ ОП – 210. https://www.garant.ru/products/ipo/prime/doc/10007054/.</w:t>
      </w:r>
    </w:p>
  </w:footnote>
  <w:footnote w:id="205">
    <w:p w14:paraId="10B64A27"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П. 3, ст. 1151 Гражданский кодекс Российской Федерации (часть первая) от 30.11.1994 N 51-ФЗ (ред. от 16.12.2019).</w:t>
      </w:r>
    </w:p>
  </w:footnote>
  <w:footnote w:id="206">
    <w:p w14:paraId="3C478180"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П. 2, ст. 1151 Гражданский кодекс Российской Федерации (часть первая) от 30.11.1994 N 51-ФЗ (ред. от 16.12.2019).</w:t>
      </w:r>
    </w:p>
  </w:footnote>
  <w:footnote w:id="207">
    <w:p w14:paraId="1E3FE258"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П. 1, ст 1152 Гражданский кодекс Российской Федерации (часть первая) от 30.11.1994 N 51-ФЗ (ред. от 16.12.2019).</w:t>
      </w:r>
    </w:p>
  </w:footnote>
  <w:footnote w:id="208">
    <w:p w14:paraId="13DB1174"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П. 1, ст. 1157 Гражданский кодекс Российской Федерации (часть первая) от 30.11.1994 N 51-ФЗ (ред. от 16.12.2019).</w:t>
      </w:r>
    </w:p>
  </w:footnote>
  <w:footnote w:id="209">
    <w:p w14:paraId="56394D8E"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hyperlink r:id="rId3" w:anchor="block_50" w:history="1">
        <w:r>
          <w:rPr>
            <w:rStyle w:val="a9"/>
          </w:rPr>
          <w:t>П. 50</w:t>
        </w:r>
      </w:hyperlink>
      <w:r>
        <w:rPr>
          <w:rFonts w:ascii="Times New Roman" w:hAnsi="Times New Roman" w:cs="Times New Roman"/>
        </w:rPr>
        <w:t> постановления Пленума Верховного Суда РФ от 29.05.2012 N 9 "О судебной практике по делам о наследовании" (далее - Постановление N 9.</w:t>
      </w:r>
    </w:p>
  </w:footnote>
  <w:footnote w:id="210">
    <w:p w14:paraId="6F612630"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П. 1, ст. 1162 Гражданский кодекс Российской Федерации (часть первая) от 30.11.1994 N 51-ФЗ (ред. от 16.12.2019).</w:t>
      </w:r>
    </w:p>
  </w:footnote>
  <w:footnote w:id="211">
    <w:p w14:paraId="7D02E4F6"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bCs/>
        </w:rPr>
      </w:pPr>
      <w:r>
        <w:rPr>
          <w:rStyle w:val="a7"/>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bCs/>
        </w:rPr>
        <w:t>Решение № 12-101/2016 от 7 июня 2016 г. по делу № 12-101/2016 https://sudact.ru/regular/doc/AIAmEfpfIwbQ/.</w:t>
      </w:r>
    </w:p>
  </w:footnote>
  <w:footnote w:id="212">
    <w:p w14:paraId="7316B65D"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Ст. 236 Гражданский кодекс Российской Федерации (часть первая) от 30.11.1994 N 51-ФЗ (ред. от 16.12.2019).</w:t>
      </w:r>
    </w:p>
  </w:footnote>
  <w:footnote w:id="213">
    <w:p w14:paraId="495EF782"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П. 1. 1,  ст. 39. 1 </w:t>
      </w:r>
      <w:r>
        <w:rPr>
          <w:rFonts w:ascii="Times New Roman" w:hAnsi="Times New Roman" w:cs="Times New Roman"/>
          <w:bCs/>
        </w:rPr>
        <w:t>"Земельный кодекс Российской Федерации" от 25.10.2001 N 136-ФЗ (ред. от 18.03.2020).</w:t>
      </w:r>
    </w:p>
  </w:footnote>
  <w:footnote w:id="214">
    <w:p w14:paraId="5B4A1B74"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bCs/>
        </w:rPr>
        <w:t>ФГУП «Московский эндокринный завод»</w:t>
      </w:r>
      <w:r>
        <w:rPr>
          <w:rFonts w:ascii="Times New Roman" w:hAnsi="Times New Roman" w:cs="Times New Roman"/>
          <w:b/>
          <w:bCs/>
        </w:rPr>
        <w:t> </w:t>
      </w:r>
      <w:r>
        <w:rPr>
          <w:rFonts w:ascii="Times New Roman" w:hAnsi="Times New Roman" w:cs="Times New Roman"/>
        </w:rPr>
        <w:t>http://www.endopharm.ru/product/narkomaniya-i-alkogolizm/.</w:t>
      </w:r>
    </w:p>
  </w:footnote>
  <w:footnote w:id="215">
    <w:p w14:paraId="450C1A31"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Советское гражданское право М. 1984 –  26.</w:t>
      </w:r>
    </w:p>
  </w:footnote>
  <w:footnote w:id="216">
    <w:p w14:paraId="7C559699"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Земельный кодекс Российской Федерации от 25 октября 2001 года № 136-ФЗ с изм. и доп. от 18 марта 2020 года // СЗ РФ. – 2001. – № 44. – Ст. 4147; 2020. – № 12. – Ст. 1658. (далее – ЗК РФ).</w:t>
      </w:r>
    </w:p>
  </w:footnote>
  <w:footnote w:id="217">
    <w:p w14:paraId="7A7F72C0"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Гражданский кодекс Российской Федерации (часть первая) от 30 ноября 1994 года № 5-ФЗ с изм. и доп. </w:t>
      </w:r>
      <w:r>
        <w:rPr>
          <w:rFonts w:ascii="Times New Roman" w:hAnsi="Times New Roman" w:cs="Times New Roman"/>
        </w:rPr>
        <w:br/>
        <w:t>от 28 апреля 2020 года // СЗ РФ. – 1994. – № 32. – Ст. 3301. (далее – ГК РФ).</w:t>
      </w:r>
    </w:p>
  </w:footnote>
  <w:footnote w:id="218">
    <w:p w14:paraId="066223AB"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Гринь Е.А. Понятие принудительного прекращения прав на земельные участки и классификация его оснований // Уникальные исследования </w:t>
      </w:r>
      <w:r>
        <w:rPr>
          <w:rFonts w:ascii="Times New Roman" w:hAnsi="Times New Roman" w:cs="Times New Roman"/>
          <w:lang w:val="en-US"/>
        </w:rPr>
        <w:t>XXI</w:t>
      </w:r>
      <w:r>
        <w:rPr>
          <w:rFonts w:ascii="Times New Roman" w:hAnsi="Times New Roman" w:cs="Times New Roman"/>
        </w:rPr>
        <w:t xml:space="preserve"> века. – 2015. – № 1 (1). – </w:t>
      </w:r>
      <w:r>
        <w:rPr>
          <w:rFonts w:ascii="Times New Roman" w:hAnsi="Times New Roman" w:cs="Times New Roman"/>
          <w:lang w:val="en-US"/>
        </w:rPr>
        <w:t>C</w:t>
      </w:r>
      <w:r>
        <w:rPr>
          <w:rFonts w:ascii="Times New Roman" w:hAnsi="Times New Roman" w:cs="Times New Roman"/>
        </w:rPr>
        <w:t>. 21-43.</w:t>
      </w:r>
    </w:p>
  </w:footnote>
  <w:footnote w:id="219">
    <w:p w14:paraId="7DFF0A98"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Балашова Т.Н. Реквизиция как основание прекращения права собственности на земельные участки в действующем российском законодательстве // Известия высших учебных заведений. Поволжский регион. Общественные науки. – 2018. – № 3 (47). – С. 34-38.</w:t>
      </w:r>
    </w:p>
  </w:footnote>
  <w:footnote w:id="220">
    <w:p w14:paraId="3C466141"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Гряда Э.А., Траскунов В.А. К вопросу о основаниях возникновения, ограничения и прекращения прав на земельные участки лиц, не являющихся собственниками // Молодой ученый. – 2016. – № 21 (125). – С. 587-589.</w:t>
      </w:r>
    </w:p>
  </w:footnote>
  <w:footnote w:id="221">
    <w:p w14:paraId="730DD426"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Сонина ДД. Реквизиция и изъятие земельных участков для государственных и муниципальных нужд как основание прекращения прав на землю // Проблемы в российском законодательстве. – 2012. – № 1. – С. 110-113.</w:t>
      </w:r>
    </w:p>
  </w:footnote>
  <w:footnote w:id="222">
    <w:p w14:paraId="7490B854"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Об утверждении Правил возмещения собственникам земельных участков, землепользователям, землевладельцам и арендаторам земельных участков убытков, причиненных временным занятием земельных участков, ограничением прав собственников земельных участков, землепользователей, землевладельцев и арендаторов земельных участков либо ухудшении качества земель в результате деятельности других лиц: Постановление Правительства РФ от 07 мая 2003 года № 262 (ред. от 31 марта 2015 года) // СЗ РФ. – 2003. – </w:t>
      </w:r>
      <w:r>
        <w:rPr>
          <w:rFonts w:ascii="Times New Roman" w:hAnsi="Times New Roman" w:cs="Times New Roman"/>
        </w:rPr>
        <w:br/>
        <w:t>№ 19. – Ст. 1843; 2015. – № 14. – Ст. 2140.</w:t>
      </w:r>
    </w:p>
  </w:footnote>
  <w:footnote w:id="223">
    <w:p w14:paraId="6EFC5889"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Бураков Н.В. / Об ответственности поручителя / Российское право: Образование. Практика. Наука. - № 5. – 2016. С. 37-41.</w:t>
      </w:r>
    </w:p>
  </w:footnote>
  <w:footnote w:id="224">
    <w:p w14:paraId="61DD80DF"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Гринь О.С. / Основные подходы к пониманию способов обеспечения исполнения обязательств / Вестник Университета имени  О.Е. Кутафина. - № 2 – 2016. С. 44-51.</w:t>
      </w:r>
    </w:p>
  </w:footnote>
  <w:footnote w:id="225">
    <w:p w14:paraId="09A5C3A8"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bCs/>
        </w:rPr>
        <w:t>Мичурина Е.А. / Некоторые вопросы применения поручительства при обеспечении исполнения кредитных обязательств / Вестник Саратовской государственной юридической академии. - № 3 (104) · 2015. С.107-111.</w:t>
      </w:r>
    </w:p>
  </w:footnote>
  <w:footnote w:id="226">
    <w:p w14:paraId="374FB2F0"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bCs/>
        </w:rPr>
        <w:t xml:space="preserve">Суворов Е.Д.  / </w:t>
      </w:r>
      <w:r>
        <w:rPr>
          <w:rFonts w:ascii="Times New Roman" w:hAnsi="Times New Roman" w:cs="Times New Roman"/>
          <w:bCs/>
          <w:iCs/>
        </w:rPr>
        <w:t>К вопросу о правовой природе поручительства на примере сравнения с солидарными обязательствами</w:t>
      </w:r>
      <w:r>
        <w:rPr>
          <w:rFonts w:ascii="Times New Roman" w:hAnsi="Times New Roman" w:cs="Times New Roman"/>
          <w:b/>
          <w:bCs/>
        </w:rPr>
        <w:t xml:space="preserve"> </w:t>
      </w:r>
      <w:r>
        <w:rPr>
          <w:rFonts w:ascii="Times New Roman" w:hAnsi="Times New Roman" w:cs="Times New Roman"/>
          <w:bCs/>
        </w:rPr>
        <w:t xml:space="preserve">/  </w:t>
      </w:r>
      <w:r>
        <w:rPr>
          <w:rFonts w:ascii="Times New Roman" w:hAnsi="Times New Roman" w:cs="Times New Roman"/>
        </w:rPr>
        <w:t>Вестник Университета имени  О.Е. Кутафина. - № 4– 2019. С.86-99.</w:t>
      </w:r>
    </w:p>
  </w:footnote>
  <w:footnote w:id="227">
    <w:p w14:paraId="07906FCB"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Титов Н.Д. / Некоторые особенности правоотношения, порождаемого договором поручительства  /  Вестник Томского государственного университета. - № 12. – 2018. С. 119-125.</w:t>
      </w:r>
    </w:p>
  </w:footnote>
  <w:footnote w:id="228">
    <w:p w14:paraId="4B1D609D"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Карпов Евгений Алексеевич Самовольная постройка как основание приобретения права собственности: проблемные аспекты // Сервис +. - 2019. - №1. - С. 66-70.</w:t>
      </w:r>
    </w:p>
  </w:footnote>
  <w:footnote w:id="229">
    <w:p w14:paraId="411044C5"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Гумилевская О.В. История становления и развития института самовольной постройки / О.В.Гумилевская //Социально-гуманитарное знание. - 2008. - № 10. - С. 340-345.</w:t>
      </w:r>
    </w:p>
  </w:footnote>
  <w:footnote w:id="230">
    <w:p w14:paraId="282B1C53"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Право собственности в России: Лекция / В. П. Камышанский; М-во внутр. дел РФ. Волгогр. юрид. ин-т. - Волгоград, 1998. - 23 с.</w:t>
      </w:r>
    </w:p>
  </w:footnote>
  <w:footnote w:id="231">
    <w:p w14:paraId="18EA5F11"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Pr>
          <w:rStyle w:val="a7"/>
          <w:rFonts w:ascii="Times New Roman" w:hAnsi="Times New Roman" w:cs="Times New Roman"/>
        </w:rPr>
        <w:footnoteRef/>
      </w:r>
      <w:r>
        <w:rPr>
          <w:rFonts w:ascii="Times New Roman" w:hAnsi="Times New Roman" w:cs="Times New Roman"/>
        </w:rPr>
        <w:t xml:space="preserve"> Основания признания права собственности на самовольную постройку: автореферат дис. кандидата юридических наук: 12.00.03 / Гумилевская Оксана Владимировна; [Место защиты: Кубан. гос. аграр. ун-т]. - Краснодар, 2008. - 23 с.</w:t>
      </w:r>
    </w:p>
  </w:footnote>
  <w:footnote w:id="232">
    <w:p w14:paraId="724DCA84"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Грызыхина Елена Александровна Некоторые аспекты легализации самовольной постройки // Вестник ОмГУ. Серия. Право. 2008. №3. – С. 90-93.</w:t>
      </w:r>
    </w:p>
  </w:footnote>
  <w:footnote w:id="233">
    <w:p w14:paraId="2D5F24C3"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Гумилевская О.В. Ответственность за самовольное строительство в России / О.В.Гумилевская // Общество и право. - 2008 - № 1 (19) - С. 98-102.</w:t>
      </w:r>
    </w:p>
  </w:footnote>
  <w:footnote w:id="234">
    <w:p w14:paraId="3B6B9577" w14:textId="3E93B802" w:rsidR="00FD5ABB" w:rsidRPr="00DB36FA" w:rsidRDefault="00FD5ABB" w:rsidP="00DB36FA">
      <w:pPr>
        <w:pStyle w:val="a5"/>
        <w:jc w:val="both"/>
        <w:rPr>
          <w:rFonts w:ascii="Times New Roman" w:hAnsi="Times New Roman" w:cs="Times New Roman"/>
        </w:rPr>
      </w:pPr>
      <w:r w:rsidRPr="00DB36FA">
        <w:rPr>
          <w:rStyle w:val="a7"/>
          <w:rFonts w:ascii="Times New Roman" w:hAnsi="Times New Roman" w:cs="Times New Roman"/>
        </w:rPr>
        <w:footnoteRef/>
      </w:r>
      <w:r w:rsidRPr="00DB36FA">
        <w:rPr>
          <w:rFonts w:ascii="Times New Roman" w:hAnsi="Times New Roman" w:cs="Times New Roman"/>
        </w:rPr>
        <w:t xml:space="preserve">  Поленов Р.В. Порядок заключения соглашения о разделе продукции // Власть Закона. - 2019. - № 1. - С. 240</w:t>
      </w:r>
    </w:p>
  </w:footnote>
  <w:footnote w:id="235">
    <w:p w14:paraId="36121B97"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Волкова М.А., Стародумова С.Ю. Вещные права: современное состояние и перспективы развития  //Актуальные проблемы российского законодательства. 2015. № 9. С. 121-131.</w:t>
      </w:r>
    </w:p>
  </w:footnote>
  <w:footnote w:id="236">
    <w:p w14:paraId="6FB94605"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Чесовской, Е.И. Судебная защита прав участников земельных отношений /Е. Чесовской. //Российская юстиция. -2012. - № 6. - С. 24 -25</w:t>
      </w:r>
    </w:p>
  </w:footnote>
  <w:footnote w:id="237">
    <w:p w14:paraId="31C029AD"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Гражданский кодекс Российской Федерации (часть первая) от 30 ноября 1994 г. № 51-ФЗ // Собрание законодательства РФ. - 1994. - № 32. - Ст. 3301.</w:t>
      </w:r>
    </w:p>
  </w:footnote>
  <w:footnote w:id="238">
    <w:p w14:paraId="340B8F11"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Земельный кодекс Российской Федерации от 25.10.2001 № 136-ФЗ // Собрание законодательства РФ. - 2001. - № 44. - Ст. 4147.</w:t>
      </w:r>
    </w:p>
  </w:footnote>
  <w:footnote w:id="239">
    <w:p w14:paraId="3A7C4203"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Ленковская Р.Р., Трофимова И.А.  Особенности приобретения права частной собственности на землю // Актуальные проблемы российского законодательства. 2016. № 14. С. 104-111.</w:t>
      </w:r>
    </w:p>
  </w:footnote>
  <w:footnote w:id="240">
    <w:p w14:paraId="469CF5E6" w14:textId="77777777" w:rsidR="00FD5ABB" w:rsidRDefault="00FD5AB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Pr>
          <w:rStyle w:val="a7"/>
        </w:rPr>
        <w:footnoteRef/>
      </w:r>
      <w:r>
        <w:rPr>
          <w:rFonts w:ascii="Times New Roman" w:hAnsi="Times New Roman" w:cs="Times New Roman"/>
          <w:sz w:val="20"/>
          <w:szCs w:val="20"/>
        </w:rPr>
        <w:t>Конвенция Организации Объединенных Наций о договорах международной купли-продажи товаров (заключена в Вене 11.04.1980) // Вестник ВАС РФ. – 1994. – № 1.</w:t>
      </w:r>
    </w:p>
  </w:footnote>
  <w:footnote w:id="241">
    <w:p w14:paraId="0E9245E2"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Принципы международных коммерческих договоров (Принципы УНИДРУА) (1994 год) // Закон. – 1995. – № 1.  – С. 82-92. </w:t>
      </w:r>
    </w:p>
  </w:footnote>
  <w:footnote w:id="242">
    <w:p w14:paraId="1C8FB3F7"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Pr>
          <w:rStyle w:val="a7"/>
          <w:rFonts w:ascii="Times New Roman" w:hAnsi="Times New Roman" w:cs="Times New Roman"/>
        </w:rPr>
        <w:footnoteRef/>
      </w:r>
      <w:r>
        <w:rPr>
          <w:rFonts w:ascii="Times New Roman" w:hAnsi="Times New Roman" w:cs="Times New Roman"/>
        </w:rPr>
        <w:t xml:space="preserve"> Международное и зарубежное финансовое регулирование : институты, сделки, инфраструктура : монография. В 2 ч. Ч. 2 / под ред. А. В. Шамраева. – М.,  2014. – С. 490.</w:t>
      </w:r>
    </w:p>
  </w:footnote>
  <w:footnote w:id="243">
    <w:p w14:paraId="4FF7BB6F"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Pr>
          <w:rStyle w:val="a7"/>
        </w:rPr>
        <w:footnoteRef/>
      </w:r>
      <w:r>
        <w:rPr>
          <w:rFonts w:ascii="Times New Roman" w:hAnsi="Times New Roman" w:cs="Times New Roman"/>
          <w:shd w:val="clear" w:color="auto" w:fill="FFFFFF"/>
        </w:rPr>
        <w:t>Гражданское уложение : проект Высочайше учрежденной Редакционной комиссии по составлению Гражданского уложения. Т. 2 / под ред. И. М. Тютрюмова. – СПб., 1910.  – С. 250.</w:t>
      </w:r>
    </w:p>
  </w:footnote>
  <w:footnote w:id="244">
    <w:p w14:paraId="6DDE6DB5"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Pr>
          <w:rStyle w:val="a7"/>
        </w:rPr>
        <w:footnoteRef/>
      </w:r>
      <w:r>
        <w:t xml:space="preserve"> </w:t>
      </w:r>
      <w:r>
        <w:rPr>
          <w:rFonts w:ascii="Times New Roman" w:hAnsi="Times New Roman" w:cs="Times New Roman"/>
        </w:rPr>
        <w:t>Концепция развития гражданского законодательства РФ : одобрена решением Совета при Президенте РФ по кодификации и совершенствованию гражданского законодательства от 07.10.2009 // Вестник ВАС РФ.  – 2009. – № 11. – С. 73.</w:t>
      </w:r>
    </w:p>
  </w:footnote>
  <w:footnote w:id="245">
    <w:p w14:paraId="0923B789"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Гражданский кодекс Франции (Кодекс Наполеона). – М. Инфортропик Медиа, 2012. – С. 4-592.</w:t>
      </w:r>
    </w:p>
  </w:footnote>
  <w:footnote w:id="246">
    <w:p w14:paraId="3A44C322"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Синявская М. С. Вопросы нарушения договора и его последствий в современном французском праве : настоящее положение дел, критика, проект реформы // Вестник гражданского права. – 2008. – № 3. – С. 53.</w:t>
      </w:r>
    </w:p>
  </w:footnote>
  <w:footnote w:id="247">
    <w:p w14:paraId="7AFECA50"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lang w:val="en-US"/>
        </w:rPr>
        <w:t xml:space="preserve"> Posner E. A. Contract Remedies: Foreseeability, Precaution, Causation and Mitigation // The Encyclopedia of Law and Economics / ed. by B. Bouckaert, G. de Geest. </w:t>
      </w:r>
      <w:r>
        <w:rPr>
          <w:rFonts w:ascii="Times New Roman" w:hAnsi="Times New Roman" w:cs="Times New Roman"/>
        </w:rPr>
        <w:t>Cheltenham, – 2000. – P. 176.</w:t>
      </w:r>
    </w:p>
  </w:footnote>
  <w:footnote w:id="248">
    <w:p w14:paraId="1BA44C89"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Pr>
          <w:rStyle w:val="a7"/>
        </w:rPr>
        <w:footnoteRef/>
      </w:r>
      <w:r>
        <w:t xml:space="preserve"> </w:t>
      </w:r>
      <w:r>
        <w:rPr>
          <w:rFonts w:ascii="Times New Roman" w:hAnsi="Times New Roman" w:cs="Times New Roman"/>
        </w:rPr>
        <w:t>Белых В. С. Правовое регулирование предпринимательской деятельности в России : монография. – М.,  2009. – С. 215.</w:t>
      </w:r>
    </w:p>
  </w:footnote>
  <w:footnote w:id="249">
    <w:p w14:paraId="0918E5C9"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Pr>
          <w:rStyle w:val="a7"/>
        </w:rPr>
        <w:footnoteRef/>
      </w:r>
      <w:r>
        <w:t xml:space="preserve"> </w:t>
      </w:r>
      <w:r>
        <w:rPr>
          <w:rFonts w:ascii="Times New Roman" w:hAnsi="Times New Roman" w:cs="Times New Roman"/>
        </w:rPr>
        <w:t>Розенберг М. Г. Контракт международной купли-продажи: Современная практика заключения. Разрешение споров. – М., - 1996. – С. 85-89.</w:t>
      </w:r>
    </w:p>
  </w:footnote>
  <w:footnote w:id="250">
    <w:p w14:paraId="1B340479"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Pr>
          <w:rStyle w:val="a7"/>
        </w:rPr>
        <w:footnoteRef/>
      </w:r>
      <w:r>
        <w:t xml:space="preserve"> </w:t>
      </w:r>
      <w:r>
        <w:rPr>
          <w:rFonts w:ascii="Times New Roman" w:hAnsi="Times New Roman" w:cs="Times New Roman"/>
        </w:rPr>
        <w:t>Жарский А. В. Возмещение убытков в международном коммерческом обороте // Журнал российского права. –2001. – № 5. – С. 36-39.</w:t>
      </w:r>
    </w:p>
  </w:footnote>
  <w:footnote w:id="251">
    <w:p w14:paraId="359C4F21"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Pr>
          <w:rStyle w:val="a7"/>
        </w:rPr>
        <w:footnoteRef/>
      </w:r>
      <w:r>
        <w:t xml:space="preserve"> </w:t>
      </w:r>
      <w:r>
        <w:rPr>
          <w:rFonts w:ascii="Times New Roman" w:hAnsi="Times New Roman" w:cs="Times New Roman"/>
        </w:rPr>
        <w:t>Розенберг М. Г. Контракт международной купли-продажи: Современная практика заключения. Разрешение споров. –  М., 1996. – С. 85-89.</w:t>
      </w:r>
    </w:p>
  </w:footnote>
  <w:footnote w:id="252">
    <w:p w14:paraId="48946F2B" w14:textId="77777777" w:rsidR="00FD5ABB" w:rsidRDefault="00FD5ABB" w:rsidP="001B6C3B">
      <w:pPr>
        <w:tabs>
          <w:tab w:val="left" w:pos="993"/>
        </w:tabs>
        <w:spacing w:after="0" w:line="240" w:lineRule="auto"/>
        <w:contextualSpacing/>
        <w:jc w:val="both"/>
        <w:rPr>
          <w:rFonts w:ascii="Times New Roman" w:hAnsi="Times New Roman" w:cs="Times New Roman"/>
          <w:sz w:val="20"/>
          <w:szCs w:val="20"/>
          <w:shd w:val="clear" w:color="auto" w:fill="FFFFFF"/>
        </w:rPr>
      </w:pPr>
      <w:r>
        <w:rPr>
          <w:rStyle w:val="a7"/>
          <w:rFonts w:ascii="Times New Roman" w:hAnsi="Times New Roman" w:cs="Times New Roman"/>
          <w:sz w:val="20"/>
          <w:szCs w:val="20"/>
        </w:rPr>
        <w:footnoteRef/>
      </w:r>
      <w:r>
        <w:rPr>
          <w:rFonts w:ascii="Times New Roman" w:hAnsi="Times New Roman" w:cs="Times New Roman"/>
          <w:sz w:val="20"/>
          <w:szCs w:val="20"/>
        </w:rPr>
        <w:t xml:space="preserve"> </w:t>
      </w:r>
      <w:r>
        <w:rPr>
          <w:rFonts w:ascii="Times New Roman" w:hAnsi="Times New Roman" w:cs="Times New Roman"/>
          <w:sz w:val="20"/>
          <w:szCs w:val="20"/>
          <w:shd w:val="clear" w:color="auto" w:fill="FFFFFF"/>
        </w:rPr>
        <w:t xml:space="preserve">Предпринимательское право Российской Федерации: учебник / Е.П. Губин, П.Г. Лахно. — 3-е изд., перераб. и доп. — М.: Юр. Норма, НИЦ ИНФРА-М. </w:t>
      </w:r>
      <w:r>
        <w:rPr>
          <w:rFonts w:ascii="Times New Roman" w:hAnsi="Times New Roman" w:cs="Times New Roman"/>
        </w:rPr>
        <w:t>–</w:t>
      </w:r>
      <w:r>
        <w:rPr>
          <w:rFonts w:ascii="Times New Roman" w:hAnsi="Times New Roman" w:cs="Times New Roman"/>
          <w:sz w:val="20"/>
          <w:szCs w:val="20"/>
          <w:shd w:val="clear" w:color="auto" w:fill="FFFFFF"/>
        </w:rPr>
        <w:t xml:space="preserve"> 2017. </w:t>
      </w:r>
      <w:r>
        <w:rPr>
          <w:rFonts w:ascii="Times New Roman" w:hAnsi="Times New Roman" w:cs="Times New Roman"/>
        </w:rPr>
        <w:t>–</w:t>
      </w:r>
      <w:r>
        <w:rPr>
          <w:rFonts w:ascii="Times New Roman" w:hAnsi="Times New Roman" w:cs="Times New Roman"/>
          <w:sz w:val="20"/>
          <w:szCs w:val="20"/>
          <w:shd w:val="clear" w:color="auto" w:fill="FFFFFF"/>
        </w:rPr>
        <w:t xml:space="preserve"> С. 17.</w:t>
      </w:r>
    </w:p>
  </w:footnote>
  <w:footnote w:id="253">
    <w:p w14:paraId="017997B9"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Гражданский кодекс Российской Федерации (часть вторая): федер. закон Российской Федерации от 26.01.1996 г. № 14-ФЗ (с изм. и доп. вступ. в силу с 30.12.2018) // СЗ РФ. – 1996. – № 5. – Ст.410.</w:t>
      </w:r>
    </w:p>
  </w:footnote>
  <w:footnote w:id="254">
    <w:p w14:paraId="30BE322E"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Игбаева Гузель Римовна, Шакирова Зульфия Римовна.  Квалифицирующие признаки предпринимательской деятельности // Евразийская адвокатура. – 2018. – №2 (33). – С. 54.</w:t>
      </w:r>
    </w:p>
  </w:footnote>
  <w:footnote w:id="255">
    <w:p w14:paraId="0B97DB5E"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rPr>
      </w:pPr>
      <w:r>
        <w:rPr>
          <w:rStyle w:val="a7"/>
          <w:rFonts w:ascii="Times New Roman" w:hAnsi="Times New Roman" w:cs="Times New Roman"/>
        </w:rPr>
        <w:footnoteRef/>
      </w:r>
      <w:r>
        <w:rPr>
          <w:rFonts w:ascii="Times New Roman" w:hAnsi="Times New Roman" w:cs="Times New Roman"/>
        </w:rPr>
        <w:t xml:space="preserve"> Еникеев А. А., Шаповалов А. В. Юридическая и философская герменевтика: сравнительный анализ // Евразийский юридический журнал. – 2020. – №2 (141). – С. 106.</w:t>
      </w:r>
    </w:p>
  </w:footnote>
  <w:footnote w:id="256">
    <w:p w14:paraId="5BC75D28"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Дювернуа Н. Л. Пособие и лекции по гражданскому праву. – Самара: Изд-во Самар. гос.экон. акад. – 2001. – С. 35.</w:t>
      </w:r>
    </w:p>
  </w:footnote>
  <w:footnote w:id="257">
    <w:p w14:paraId="0A4DABFA"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Гольмстен А. Х. Очерки по русскому торговому праву. Вып. 1. – СПб. – 1895. – С. 25.</w:t>
      </w:r>
    </w:p>
  </w:footnote>
  <w:footnote w:id="258">
    <w:p w14:paraId="60CB48EB"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Шершеневич Г. Ф. Учебник торгового права: учебник для вузов / Г. Ф. Шершеневич ; предисловие В. А. Белова — М. : Издательство Юрайт – 2016. – С. 28.</w:t>
      </w:r>
    </w:p>
  </w:footnote>
  <w:footnote w:id="259">
    <w:p w14:paraId="71B95AED"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rPr>
      </w:pPr>
      <w:r>
        <w:rPr>
          <w:rStyle w:val="a7"/>
          <w:rFonts w:ascii="Times New Roman" w:hAnsi="Times New Roman" w:cs="Times New Roman"/>
        </w:rPr>
        <w:footnoteRef/>
      </w:r>
      <w:r>
        <w:rPr>
          <w:rFonts w:ascii="Times New Roman" w:hAnsi="Times New Roman" w:cs="Times New Roman"/>
        </w:rPr>
        <w:t xml:space="preserve"> Кулагин М. И. Избранные труды. – М.: Статут –  1997. – С. 200.</w:t>
      </w:r>
    </w:p>
  </w:footnote>
  <w:footnote w:id="260">
    <w:p w14:paraId="6EE22417"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4"/>
          <w:lang w:eastAsia="ru-RU"/>
        </w:rPr>
      </w:pPr>
      <w:r>
        <w:rPr>
          <w:rStyle w:val="a7"/>
          <w:rFonts w:ascii="Times New Roman" w:hAnsi="Times New Roman" w:cs="Times New Roman"/>
          <w:szCs w:val="24"/>
        </w:rPr>
        <w:footnoteRef/>
      </w:r>
      <w:r>
        <w:rPr>
          <w:rFonts w:ascii="Times New Roman" w:hAnsi="Times New Roman" w:cs="Times New Roman"/>
          <w:sz w:val="20"/>
          <w:szCs w:val="24"/>
        </w:rPr>
        <w:t xml:space="preserve"> Конституция Российской Федерации (принята всенародным голосованием 12.12.1993) (с учетом поправок, внесенных Законами РФ о поправках к Конституции РФ от 30.12.2008 N 6-ФКЗ, от 30.12.2008 N 7-ФКЗ, от 05.02.2014 N 2-ФКЗ, от 21.07.2014 N 11-ФКЗ) // СЗ РФ. -</w:t>
      </w:r>
      <w:r>
        <w:rPr>
          <w:rFonts w:ascii="Times New Roman" w:eastAsia="Times New Roman" w:hAnsi="Times New Roman" w:cs="Times New Roman"/>
          <w:sz w:val="20"/>
          <w:szCs w:val="24"/>
          <w:lang w:eastAsia="ru-RU"/>
        </w:rPr>
        <w:t>2014. - N 31. - ст. 4398.</w:t>
      </w:r>
    </w:p>
  </w:footnote>
  <w:footnote w:id="261">
    <w:p w14:paraId="748F7911"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16"/>
        </w:rPr>
      </w:pPr>
      <w:r>
        <w:rPr>
          <w:rStyle w:val="a7"/>
          <w:rFonts w:ascii="Times New Roman" w:hAnsi="Times New Roman" w:cs="Times New Roman"/>
        </w:rPr>
        <w:footnoteRef/>
      </w:r>
      <w:r>
        <w:rPr>
          <w:rFonts w:ascii="Times New Roman" w:hAnsi="Times New Roman" w:cs="Times New Roman"/>
        </w:rPr>
        <w:t xml:space="preserve"> Комментарии к Конституции Российской Федерации / Под ред. В.Д. Зорькина, Л.В. Лазарева. М., - 2009. - С. 495.</w:t>
      </w:r>
    </w:p>
  </w:footnote>
  <w:footnote w:id="262">
    <w:p w14:paraId="3F2484FA"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rPr>
      </w:pPr>
      <w:r>
        <w:rPr>
          <w:rStyle w:val="a7"/>
          <w:rFonts w:ascii="Times New Roman" w:hAnsi="Times New Roman" w:cs="Times New Roman"/>
        </w:rPr>
        <w:footnoteRef/>
      </w:r>
      <w:r>
        <w:rPr>
          <w:rFonts w:ascii="Times New Roman" w:hAnsi="Times New Roman" w:cs="Times New Roman"/>
        </w:rPr>
        <w:t xml:space="preserve">  Аракельян Р.Г. Резервирование и изъятие земельных участков в механизме правового регулирования отношений собственности: гражданско-правовой аспект: дис. ... канд. юрид. наук. Краснодар. - 2007. - </w:t>
      </w:r>
      <w:r>
        <w:rPr>
          <w:rFonts w:ascii="Times New Roman" w:hAnsi="Times New Roman" w:cs="Times New Roman"/>
          <w:lang w:val="en-US"/>
        </w:rPr>
        <w:t>C</w:t>
      </w:r>
      <w:r>
        <w:rPr>
          <w:rFonts w:ascii="Times New Roman" w:hAnsi="Times New Roman" w:cs="Times New Roman"/>
        </w:rPr>
        <w:t xml:space="preserve"> 12.</w:t>
      </w:r>
    </w:p>
  </w:footnote>
  <w:footnote w:id="263">
    <w:p w14:paraId="770E31C6"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Камышанский В.П. Резервирование земельных участков поселений для муниципальных нужд / Право и правосудие в современном мире: Матер, междунар. науч.-практ. конф., посвященной пятилетнему юбилею Северо-Кавказского филиала Российской академии правосудия. - Краснодар, 2006. - С. 163-165.</w:t>
      </w:r>
    </w:p>
  </w:footnote>
  <w:footnote w:id="264">
    <w:p w14:paraId="769879A7"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eastAsia="Times New Roman" w:hAnsi="Times New Roman" w:cs="Times New Roman"/>
          <w:sz w:val="20"/>
          <w:szCs w:val="20"/>
          <w:lang w:eastAsia="ru-RU"/>
        </w:rPr>
      </w:pPr>
      <w:r>
        <w:rPr>
          <w:rStyle w:val="a7"/>
        </w:rPr>
        <w:footnoteRef/>
      </w:r>
      <w:r>
        <w:rPr>
          <w:sz w:val="20"/>
          <w:szCs w:val="20"/>
        </w:rPr>
        <w:t xml:space="preserve"> </w:t>
      </w:r>
      <w:r>
        <w:rPr>
          <w:rFonts w:ascii="Times New Roman" w:eastAsia="Times New Roman" w:hAnsi="Times New Roman" w:cs="Times New Roman"/>
          <w:sz w:val="20"/>
          <w:szCs w:val="20"/>
          <w:lang w:eastAsia="ru-RU"/>
        </w:rPr>
        <w:t>Постановление Правительства РФ от 22.07.2008 N 561</w:t>
      </w:r>
      <w:r>
        <w:rPr>
          <w:rFonts w:ascii="Verdana" w:eastAsia="Times New Roman" w:hAnsi="Verdana" w:cs="Times New Roman"/>
          <w:sz w:val="20"/>
          <w:szCs w:val="20"/>
          <w:lang w:eastAsia="ru-RU"/>
        </w:rPr>
        <w:t xml:space="preserve"> </w:t>
      </w:r>
      <w:r>
        <w:rPr>
          <w:rFonts w:ascii="Times New Roman" w:eastAsia="Times New Roman" w:hAnsi="Times New Roman" w:cs="Times New Roman"/>
          <w:sz w:val="20"/>
          <w:szCs w:val="20"/>
          <w:lang w:eastAsia="ru-RU"/>
        </w:rPr>
        <w:t>(ред. от 04.10.2012)</w:t>
      </w:r>
      <w:r>
        <w:rPr>
          <w:rFonts w:ascii="Verdana" w:eastAsia="Times New Roman" w:hAnsi="Verdana" w:cs="Times New Roman"/>
          <w:sz w:val="20"/>
          <w:szCs w:val="20"/>
          <w:lang w:eastAsia="ru-RU"/>
        </w:rPr>
        <w:t xml:space="preserve"> </w:t>
      </w:r>
      <w:r>
        <w:rPr>
          <w:rFonts w:ascii="Times New Roman" w:eastAsia="Times New Roman" w:hAnsi="Times New Roman" w:cs="Times New Roman"/>
          <w:sz w:val="20"/>
          <w:szCs w:val="20"/>
          <w:lang w:eastAsia="ru-RU"/>
        </w:rPr>
        <w:t>«О некоторых вопросах, связанных с резервированием земель для государственных или муниципальных нужд» // СЗ РФ – 2008. - №30 (ч. 2). – ст. 3646.</w:t>
      </w:r>
    </w:p>
    <w:p w14:paraId="527FFE44"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footnote>
  <w:footnote w:id="265">
    <w:p w14:paraId="134A67A0"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Cs w:val="24"/>
        </w:rPr>
      </w:pPr>
      <w:r>
        <w:rPr>
          <w:rStyle w:val="a7"/>
          <w:rFonts w:ascii="Times New Roman" w:hAnsi="Times New Roman" w:cs="Times New Roman"/>
          <w:szCs w:val="24"/>
        </w:rPr>
        <w:footnoteRef/>
      </w:r>
      <w:r>
        <w:rPr>
          <w:rFonts w:ascii="Times New Roman" w:hAnsi="Times New Roman" w:cs="Times New Roman"/>
          <w:szCs w:val="24"/>
        </w:rPr>
        <w:t xml:space="preserve"> </w:t>
      </w:r>
      <w:r>
        <w:rPr>
          <w:rFonts w:ascii="Times New Roman" w:eastAsia="Calibri" w:hAnsi="Times New Roman" w:cs="Times New Roman"/>
          <w:szCs w:val="24"/>
        </w:rPr>
        <w:t>Землякова Г.Л. К вопросу о целях резервирования земель в Российской Федерации //Аграрное и земельное право. -2017. - № 11. - С. 46.</w:t>
      </w:r>
    </w:p>
  </w:footnote>
  <w:footnote w:id="266">
    <w:p w14:paraId="28760E56"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Cs w:val="24"/>
        </w:rPr>
      </w:pPr>
      <w:r>
        <w:rPr>
          <w:rStyle w:val="a7"/>
          <w:rFonts w:ascii="Times New Roman" w:hAnsi="Times New Roman" w:cs="Times New Roman"/>
          <w:szCs w:val="24"/>
        </w:rPr>
        <w:footnoteRef/>
      </w:r>
      <w:r>
        <w:rPr>
          <w:rFonts w:ascii="Times New Roman" w:hAnsi="Times New Roman" w:cs="Times New Roman"/>
          <w:szCs w:val="24"/>
        </w:rPr>
        <w:t xml:space="preserve"> </w:t>
      </w:r>
      <w:r>
        <w:rPr>
          <w:rFonts w:ascii="Times New Roman" w:eastAsia="Calibri" w:hAnsi="Times New Roman" w:cs="Times New Roman"/>
          <w:szCs w:val="24"/>
        </w:rPr>
        <w:t>Минина Е.Л. Проблемы законодательства о резервировании земель для государственных и муниципальных нужд // Журнал российского права. - 2013. - № 8. - С. 57.</w:t>
      </w:r>
    </w:p>
  </w:footnote>
  <w:footnote w:id="267">
    <w:p w14:paraId="5410CF55"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16"/>
        </w:rPr>
      </w:pPr>
      <w:r>
        <w:rPr>
          <w:rStyle w:val="a7"/>
          <w:rFonts w:ascii="Times New Roman" w:hAnsi="Times New Roman" w:cs="Times New Roman"/>
          <w:szCs w:val="24"/>
        </w:rPr>
        <w:footnoteRef/>
      </w:r>
      <w:r>
        <w:rPr>
          <w:rFonts w:ascii="Times New Roman" w:hAnsi="Times New Roman" w:cs="Times New Roman"/>
          <w:szCs w:val="24"/>
        </w:rPr>
        <w:t xml:space="preserve"> </w:t>
      </w:r>
      <w:r>
        <w:rPr>
          <w:rFonts w:ascii="Times New Roman" w:eastAsia="Calibri" w:hAnsi="Times New Roman" w:cs="Times New Roman"/>
          <w:szCs w:val="24"/>
        </w:rPr>
        <w:t>Землякова Г.Л. Резервирование земель для государственных и муниципальных нужд в аспекте конституционных прав граждан и их объединений // Право и государство: теория и практика. - М.: Право и государство, - 2014, - № 12 (60). - С. 86.</w:t>
      </w:r>
    </w:p>
  </w:footnote>
  <w:footnote w:id="268">
    <w:p w14:paraId="23EEE4C5"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4"/>
          <w:lang w:eastAsia="ru-RU"/>
        </w:rPr>
      </w:pPr>
      <w:r>
        <w:rPr>
          <w:rStyle w:val="a7"/>
          <w:rFonts w:ascii="Times New Roman" w:hAnsi="Times New Roman" w:cs="Times New Roman"/>
          <w:szCs w:val="24"/>
        </w:rPr>
        <w:footnoteRef/>
      </w:r>
      <w:r>
        <w:rPr>
          <w:rFonts w:ascii="Times New Roman" w:hAnsi="Times New Roman" w:cs="Times New Roman"/>
          <w:sz w:val="20"/>
          <w:szCs w:val="24"/>
        </w:rPr>
        <w:t xml:space="preserve"> </w:t>
      </w:r>
      <w:r>
        <w:rPr>
          <w:rFonts w:ascii="Times New Roman" w:eastAsia="Times New Roman" w:hAnsi="Times New Roman" w:cs="Times New Roman"/>
          <w:sz w:val="20"/>
          <w:szCs w:val="24"/>
          <w:lang w:eastAsia="ru-RU"/>
        </w:rPr>
        <w:t>Постановление Правительства РФ от 07.05.2003 N 262 (ред. от 31.03.2015) «Об утверждении Правил возмещения собственникам земельных участков, землепользователям, землевладельцам и арендаторам земельных участков убытков, причиненных временным занятием земельных участков, ограничением прав собственников земельных участков, землепользователей, землевладельцев и арендаторов земельных участков либо ухудшением качества земель в результате деятельности других лиц» // СЗ РФ. – 2003. - №19. – ст. 1843.</w:t>
      </w:r>
    </w:p>
    <w:p w14:paraId="1ECB1AD5"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footnote>
  <w:footnote w:id="269">
    <w:p w14:paraId="70D118DF"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w:hAnsi="Times New Roman" w:cs="Times New Roman"/>
          <w:sz w:val="20"/>
          <w:szCs w:val="20"/>
        </w:rPr>
      </w:pPr>
      <w:r>
        <w:rPr>
          <w:rStyle w:val="a7"/>
          <w:rFonts w:ascii="Times New Roman" w:hAnsi="Times New Roman" w:cs="Times New Roman"/>
          <w:sz w:val="20"/>
          <w:szCs w:val="20"/>
        </w:rPr>
        <w:footnoteRef/>
      </w:r>
      <w:r>
        <w:rPr>
          <w:rFonts w:ascii="Times New Roman" w:hAnsi="Times New Roman" w:cs="Times New Roman"/>
          <w:sz w:val="20"/>
          <w:szCs w:val="20"/>
        </w:rPr>
        <w:t xml:space="preserve"> </w:t>
      </w:r>
      <w:r>
        <w:rPr>
          <w:rFonts w:ascii="Times New Roman" w:hAnsi="Times New Roman" w:cs="Times New Roman"/>
          <w:i/>
          <w:sz w:val="20"/>
          <w:szCs w:val="20"/>
        </w:rPr>
        <w:t>Роор К.А.</w:t>
      </w:r>
      <w:r>
        <w:rPr>
          <w:rFonts w:ascii="Times New Roman" w:hAnsi="Times New Roman" w:cs="Times New Roman"/>
          <w:sz w:val="20"/>
          <w:szCs w:val="20"/>
        </w:rPr>
        <w:t xml:space="preserve"> Понятие и сущность эстоппеля // Актуальные проблемы российского права. - 2018. - № 7. - С. 72.</w:t>
      </w:r>
    </w:p>
  </w:footnote>
  <w:footnote w:id="270">
    <w:p w14:paraId="20B40565"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Гражданский кодекс Российской Федерации (часть первая): федер. закон от 30.11.1994 № 51-ФЗ (ред. от 29.07.2017) // Собр. законодательства РФ. - 1994. - № 32, ст. 3301.</w:t>
      </w:r>
    </w:p>
  </w:footnote>
  <w:footnote w:id="271">
    <w:p w14:paraId="353FBA33"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i/>
        </w:rPr>
        <w:t>Остроухова В.В.</w:t>
      </w:r>
      <w:r>
        <w:rPr>
          <w:rFonts w:ascii="Times New Roman" w:hAnsi="Times New Roman" w:cs="Times New Roman"/>
        </w:rPr>
        <w:t xml:space="preserve"> Нотариальное удостоверение сделок: проблемы и пути их решения // Власть Закона. - 2017. - № 1 (29). - С. 226.</w:t>
      </w:r>
    </w:p>
  </w:footnote>
  <w:footnote w:id="272">
    <w:p w14:paraId="68D70D71"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i/>
        </w:rPr>
        <w:t>Михайлова Е.О.</w:t>
      </w:r>
      <w:r>
        <w:rPr>
          <w:rFonts w:ascii="Times New Roman" w:hAnsi="Times New Roman" w:cs="Times New Roman"/>
        </w:rPr>
        <w:t xml:space="preserve"> Правило эстоппель: материальный и процессуальный аспекты // Концепт. - 2016. - №5. - С. 122.</w:t>
      </w:r>
    </w:p>
  </w:footnote>
  <w:footnote w:id="273">
    <w:p w14:paraId="1D2B9CDE"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w:hAnsi="Times New Roman" w:cs="Times New Roman"/>
          <w:sz w:val="20"/>
          <w:szCs w:val="20"/>
        </w:rPr>
      </w:pPr>
      <w:r>
        <w:rPr>
          <w:rStyle w:val="a7"/>
          <w:rFonts w:ascii="Times New Roman" w:hAnsi="Times New Roman" w:cs="Times New Roman"/>
          <w:sz w:val="20"/>
          <w:szCs w:val="20"/>
        </w:rPr>
        <w:footnoteRef/>
      </w:r>
      <w:r>
        <w:rPr>
          <w:rFonts w:ascii="Times New Roman" w:hAnsi="Times New Roman" w:cs="Times New Roman"/>
          <w:sz w:val="20"/>
          <w:szCs w:val="20"/>
        </w:rPr>
        <w:t xml:space="preserve"> О внесении изменений в подразделы 4 и 5 раздела I части первой и статью 1153 части третьей Гражданского кодекса Российской Федерации: федер. закон от 07.05.2013 № 100-ФЗ (ред. от 28.12.2016) // Собр. законодательства РФ. - 2013. - № 19, ст. 2327.</w:t>
      </w:r>
    </w:p>
  </w:footnote>
  <w:footnote w:id="274">
    <w:p w14:paraId="2D2DAAF2"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w:hAnsi="Times New Roman" w:cs="Times New Roman"/>
          <w:sz w:val="20"/>
          <w:szCs w:val="20"/>
        </w:rPr>
      </w:pPr>
      <w:r>
        <w:rPr>
          <w:rStyle w:val="a7"/>
          <w:rFonts w:ascii="Times New Roman" w:hAnsi="Times New Roman" w:cs="Times New Roman"/>
          <w:sz w:val="20"/>
          <w:szCs w:val="20"/>
        </w:rPr>
        <w:footnoteRef/>
      </w:r>
      <w:r>
        <w:rPr>
          <w:rFonts w:ascii="Times New Roman" w:hAnsi="Times New Roman" w:cs="Times New Roman"/>
          <w:sz w:val="20"/>
          <w:szCs w:val="20"/>
        </w:rPr>
        <w:t xml:space="preserve"> О применении судами некоторых положений раздела I части первой Гражданского кодекса Российской Федерации: постановление Пленума Верховного Суда РФ от 23.06.2015 № 25 // Рос. газ. - 2015. - № 140. </w:t>
      </w:r>
    </w:p>
  </w:footnote>
  <w:footnote w:id="275">
    <w:p w14:paraId="4C03C587"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shd w:val="clear" w:color="auto" w:fill="FFFFFF"/>
        </w:rPr>
        <w:t xml:space="preserve">Постановление Арбитражного суда Волго-Вятского округа от 12.01.2017 № Ф01-5898/2016 по делу № А43-1420/2016.  </w:t>
      </w:r>
      <w:r>
        <w:rPr>
          <w:rFonts w:ascii="Times New Roman" w:hAnsi="Times New Roman" w:cs="Times New Roman"/>
          <w:lang w:val="en-US"/>
        </w:rPr>
        <w:t>URL</w:t>
      </w:r>
      <w:r>
        <w:rPr>
          <w:rFonts w:ascii="Times New Roman" w:hAnsi="Times New Roman" w:cs="Times New Roman"/>
        </w:rPr>
        <w:t xml:space="preserve">:  </w:t>
      </w:r>
      <w:hyperlink r:id="rId4" w:history="1">
        <w:r>
          <w:rPr>
            <w:rStyle w:val="a9"/>
            <w:rFonts w:ascii="Times New Roman" w:hAnsi="Times New Roman" w:cs="Times New Roman"/>
          </w:rPr>
          <w:t>http://client.consultant.ru/site/list/?id=1005538776</w:t>
        </w:r>
      </w:hyperlink>
      <w:r>
        <w:rPr>
          <w:rFonts w:ascii="Times New Roman" w:hAnsi="Times New Roman" w:cs="Times New Roman"/>
        </w:rPr>
        <w:t xml:space="preserve"> (дата обращения: 06.05.2020).</w:t>
      </w:r>
    </w:p>
  </w:footnote>
  <w:footnote w:id="276">
    <w:p w14:paraId="47BDAE0D"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shd w:val="clear" w:color="auto" w:fill="FFFFFF"/>
        </w:rPr>
        <w:t xml:space="preserve">Постановление Арбитражного суда Северо-Кавказского округа от 08.02.2018 № Ф08-11417/2017 по делу № А22-1209/2017. </w:t>
      </w:r>
      <w:r>
        <w:rPr>
          <w:rFonts w:ascii="Times New Roman" w:hAnsi="Times New Roman" w:cs="Times New Roman"/>
          <w:shd w:val="clear" w:color="auto" w:fill="FFFFFF"/>
          <w:lang w:val="en-US"/>
        </w:rPr>
        <w:t>URL</w:t>
      </w:r>
      <w:r>
        <w:rPr>
          <w:rFonts w:ascii="Times New Roman" w:hAnsi="Times New Roman" w:cs="Times New Roman"/>
          <w:shd w:val="clear" w:color="auto" w:fill="FFFFFF"/>
        </w:rPr>
        <w:t xml:space="preserve">: </w:t>
      </w:r>
      <w:hyperlink r:id="rId5" w:anchor="07385140711225098" w:history="1">
        <w:r>
          <w:rPr>
            <w:rStyle w:val="a9"/>
            <w:rFonts w:ascii="Times New Roman" w:hAnsi="Times New Roman" w:cs="Times New Roman"/>
            <w:lang w:val="en-US"/>
          </w:rPr>
          <w:t>http</w:t>
        </w:r>
        <w:r>
          <w:rPr>
            <w:rStyle w:val="a9"/>
            <w:rFonts w:ascii="Times New Roman" w:hAnsi="Times New Roman" w:cs="Times New Roman"/>
          </w:rPr>
          <w:t>://</w:t>
        </w:r>
        <w:r>
          <w:rPr>
            <w:rStyle w:val="a9"/>
            <w:rFonts w:ascii="Times New Roman" w:hAnsi="Times New Roman" w:cs="Times New Roman"/>
            <w:lang w:val="en-US"/>
          </w:rPr>
          <w:t>www</w:t>
        </w:r>
        <w:r>
          <w:rPr>
            <w:rStyle w:val="a9"/>
            <w:rFonts w:ascii="Times New Roman" w:hAnsi="Times New Roman" w:cs="Times New Roman"/>
          </w:rPr>
          <w:t>.</w:t>
        </w:r>
        <w:r>
          <w:rPr>
            <w:rStyle w:val="a9"/>
            <w:rFonts w:ascii="Times New Roman" w:hAnsi="Times New Roman" w:cs="Times New Roman"/>
            <w:lang w:val="en-US"/>
          </w:rPr>
          <w:t>consultant</w:t>
        </w:r>
        <w:r>
          <w:rPr>
            <w:rStyle w:val="a9"/>
            <w:rFonts w:ascii="Times New Roman" w:hAnsi="Times New Roman" w:cs="Times New Roman"/>
          </w:rPr>
          <w:t>.</w:t>
        </w:r>
        <w:r>
          <w:rPr>
            <w:rStyle w:val="a9"/>
            <w:rFonts w:ascii="Times New Roman" w:hAnsi="Times New Roman" w:cs="Times New Roman"/>
            <w:lang w:val="en-US"/>
          </w:rPr>
          <w:t>ru</w:t>
        </w:r>
        <w:r>
          <w:rPr>
            <w:rStyle w:val="a9"/>
            <w:rFonts w:ascii="Times New Roman" w:hAnsi="Times New Roman" w:cs="Times New Roman"/>
          </w:rPr>
          <w:t>/</w:t>
        </w:r>
        <w:r>
          <w:rPr>
            <w:rStyle w:val="a9"/>
            <w:rFonts w:ascii="Times New Roman" w:hAnsi="Times New Roman" w:cs="Times New Roman"/>
            <w:lang w:val="en-US"/>
          </w:rPr>
          <w:t>cons</w:t>
        </w:r>
        <w:r>
          <w:rPr>
            <w:rStyle w:val="a9"/>
            <w:rFonts w:ascii="Times New Roman" w:hAnsi="Times New Roman" w:cs="Times New Roman"/>
          </w:rPr>
          <w:t>/</w:t>
        </w:r>
        <w:r>
          <w:rPr>
            <w:rStyle w:val="a9"/>
            <w:rFonts w:ascii="Times New Roman" w:hAnsi="Times New Roman" w:cs="Times New Roman"/>
            <w:lang w:val="en-US"/>
          </w:rPr>
          <w:t>cgi</w:t>
        </w:r>
        <w:r>
          <w:rPr>
            <w:rStyle w:val="a9"/>
            <w:rFonts w:ascii="Times New Roman" w:hAnsi="Times New Roman" w:cs="Times New Roman"/>
          </w:rPr>
          <w:t>/</w:t>
        </w:r>
        <w:r>
          <w:rPr>
            <w:rStyle w:val="a9"/>
            <w:rFonts w:ascii="Times New Roman" w:hAnsi="Times New Roman" w:cs="Times New Roman"/>
            <w:lang w:val="en-US"/>
          </w:rPr>
          <w:t>online</w:t>
        </w:r>
        <w:r>
          <w:rPr>
            <w:rStyle w:val="a9"/>
            <w:rFonts w:ascii="Times New Roman" w:hAnsi="Times New Roman" w:cs="Times New Roman"/>
          </w:rPr>
          <w:t>.</w:t>
        </w:r>
        <w:r>
          <w:rPr>
            <w:rStyle w:val="a9"/>
            <w:rFonts w:ascii="Times New Roman" w:hAnsi="Times New Roman" w:cs="Times New Roman"/>
            <w:lang w:val="en-US"/>
          </w:rPr>
          <w:t>cgi</w:t>
        </w:r>
        <w:r>
          <w:rPr>
            <w:rStyle w:val="a9"/>
            <w:rFonts w:ascii="Times New Roman" w:hAnsi="Times New Roman" w:cs="Times New Roman"/>
          </w:rPr>
          <w:t>?</w:t>
        </w:r>
        <w:r>
          <w:rPr>
            <w:rStyle w:val="a9"/>
            <w:rFonts w:ascii="Times New Roman" w:hAnsi="Times New Roman" w:cs="Times New Roman"/>
            <w:lang w:val="en-US"/>
          </w:rPr>
          <w:t>req</w:t>
        </w:r>
        <w:r>
          <w:rPr>
            <w:rStyle w:val="a9"/>
            <w:rFonts w:ascii="Times New Roman" w:hAnsi="Times New Roman" w:cs="Times New Roman"/>
          </w:rPr>
          <w:t>=</w:t>
        </w:r>
        <w:r>
          <w:rPr>
            <w:rStyle w:val="a9"/>
            <w:rFonts w:ascii="Times New Roman" w:hAnsi="Times New Roman" w:cs="Times New Roman"/>
            <w:lang w:val="en-US"/>
          </w:rPr>
          <w:t>doc</w:t>
        </w:r>
        <w:r>
          <w:rPr>
            <w:rStyle w:val="a9"/>
            <w:rFonts w:ascii="Times New Roman" w:hAnsi="Times New Roman" w:cs="Times New Roman"/>
          </w:rPr>
          <w:t>&amp;</w:t>
        </w:r>
        <w:r>
          <w:rPr>
            <w:rStyle w:val="a9"/>
            <w:rFonts w:ascii="Times New Roman" w:hAnsi="Times New Roman" w:cs="Times New Roman"/>
            <w:lang w:val="en-US"/>
          </w:rPr>
          <w:t>base</w:t>
        </w:r>
        <w:r>
          <w:rPr>
            <w:rStyle w:val="a9"/>
            <w:rFonts w:ascii="Times New Roman" w:hAnsi="Times New Roman" w:cs="Times New Roman"/>
          </w:rPr>
          <w:t>=</w:t>
        </w:r>
        <w:r>
          <w:rPr>
            <w:rStyle w:val="a9"/>
            <w:rFonts w:ascii="Times New Roman" w:hAnsi="Times New Roman" w:cs="Times New Roman"/>
            <w:lang w:val="en-US"/>
          </w:rPr>
          <w:t>ASK</w:t>
        </w:r>
        <w:r>
          <w:rPr>
            <w:rStyle w:val="a9"/>
            <w:rFonts w:ascii="Times New Roman" w:hAnsi="Times New Roman" w:cs="Times New Roman"/>
          </w:rPr>
          <w:t>&amp;</w:t>
        </w:r>
        <w:r>
          <w:rPr>
            <w:rStyle w:val="a9"/>
            <w:rFonts w:ascii="Times New Roman" w:hAnsi="Times New Roman" w:cs="Times New Roman"/>
            <w:lang w:val="en-US"/>
          </w:rPr>
          <w:t>n</w:t>
        </w:r>
        <w:r>
          <w:rPr>
            <w:rStyle w:val="a9"/>
            <w:rFonts w:ascii="Times New Roman" w:hAnsi="Times New Roman" w:cs="Times New Roman"/>
          </w:rPr>
          <w:t>=133135#07385140711225098</w:t>
        </w:r>
      </w:hyperlink>
      <w:r>
        <w:rPr>
          <w:rFonts w:ascii="Times New Roman" w:hAnsi="Times New Roman" w:cs="Times New Roman"/>
        </w:rPr>
        <w:t xml:space="preserve"> (дата обращения: 06.05.2020).</w:t>
      </w:r>
    </w:p>
  </w:footnote>
  <w:footnote w:id="277">
    <w:p w14:paraId="52CAF2AD"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w:hAnsi="Times New Roman" w:cs="Times New Roman"/>
          <w:sz w:val="20"/>
          <w:szCs w:val="20"/>
        </w:rPr>
      </w:pPr>
      <w:r>
        <w:rPr>
          <w:rStyle w:val="a7"/>
          <w:rFonts w:ascii="Times New Roman" w:hAnsi="Times New Roman" w:cs="Times New Roman"/>
          <w:sz w:val="20"/>
          <w:szCs w:val="20"/>
        </w:rPr>
        <w:footnoteRef/>
      </w:r>
      <w:r>
        <w:rPr>
          <w:rFonts w:ascii="Times New Roman" w:hAnsi="Times New Roman" w:cs="Times New Roman"/>
          <w:sz w:val="20"/>
          <w:szCs w:val="20"/>
        </w:rPr>
        <w:t xml:space="preserve"> Определение Судебной коллегии по экономическим спорам Верховного Суда РФ от 08.02.2018 № 305-ЭС17-15339 по делу № А40-176343/2016. </w:t>
      </w:r>
      <w:r>
        <w:rPr>
          <w:rFonts w:ascii="Times New Roman" w:hAnsi="Times New Roman" w:cs="Times New Roman"/>
          <w:sz w:val="20"/>
          <w:szCs w:val="20"/>
          <w:lang w:val="en-US"/>
        </w:rPr>
        <w:t>URL</w:t>
      </w:r>
      <w:r>
        <w:rPr>
          <w:rFonts w:ascii="Times New Roman" w:hAnsi="Times New Roman" w:cs="Times New Roman"/>
          <w:sz w:val="20"/>
          <w:szCs w:val="20"/>
        </w:rPr>
        <w:t xml:space="preserve">: </w:t>
      </w:r>
      <w:hyperlink r:id="rId6" w:anchor="022279625143505433" w:history="1">
        <w:r>
          <w:rPr>
            <w:rStyle w:val="a9"/>
            <w:rFonts w:ascii="Times New Roman" w:hAnsi="Times New Roman" w:cs="Times New Roman"/>
            <w:lang w:val="en-US"/>
          </w:rPr>
          <w:t>http</w:t>
        </w:r>
        <w:r>
          <w:rPr>
            <w:rStyle w:val="a9"/>
            <w:rFonts w:ascii="Times New Roman" w:hAnsi="Times New Roman" w:cs="Times New Roman"/>
          </w:rPr>
          <w:t>://</w:t>
        </w:r>
        <w:r>
          <w:rPr>
            <w:rStyle w:val="a9"/>
            <w:rFonts w:ascii="Times New Roman" w:hAnsi="Times New Roman" w:cs="Times New Roman"/>
            <w:lang w:val="en-US"/>
          </w:rPr>
          <w:t>www</w:t>
        </w:r>
        <w:r>
          <w:rPr>
            <w:rStyle w:val="a9"/>
            <w:rFonts w:ascii="Times New Roman" w:hAnsi="Times New Roman" w:cs="Times New Roman"/>
          </w:rPr>
          <w:t>.</w:t>
        </w:r>
        <w:r>
          <w:rPr>
            <w:rStyle w:val="a9"/>
            <w:rFonts w:ascii="Times New Roman" w:hAnsi="Times New Roman" w:cs="Times New Roman"/>
            <w:lang w:val="en-US"/>
          </w:rPr>
          <w:t>consultant</w:t>
        </w:r>
        <w:r>
          <w:rPr>
            <w:rStyle w:val="a9"/>
            <w:rFonts w:ascii="Times New Roman" w:hAnsi="Times New Roman" w:cs="Times New Roman"/>
          </w:rPr>
          <w:t>.</w:t>
        </w:r>
        <w:r>
          <w:rPr>
            <w:rStyle w:val="a9"/>
            <w:rFonts w:ascii="Times New Roman" w:hAnsi="Times New Roman" w:cs="Times New Roman"/>
            <w:lang w:val="en-US"/>
          </w:rPr>
          <w:t>ru</w:t>
        </w:r>
        <w:r>
          <w:rPr>
            <w:rStyle w:val="a9"/>
            <w:rFonts w:ascii="Times New Roman" w:hAnsi="Times New Roman" w:cs="Times New Roman"/>
          </w:rPr>
          <w:t>/</w:t>
        </w:r>
        <w:r>
          <w:rPr>
            <w:rStyle w:val="a9"/>
            <w:rFonts w:ascii="Times New Roman" w:hAnsi="Times New Roman" w:cs="Times New Roman"/>
            <w:lang w:val="en-US"/>
          </w:rPr>
          <w:t>cons</w:t>
        </w:r>
        <w:r>
          <w:rPr>
            <w:rStyle w:val="a9"/>
            <w:rFonts w:ascii="Times New Roman" w:hAnsi="Times New Roman" w:cs="Times New Roman"/>
          </w:rPr>
          <w:t>/</w:t>
        </w:r>
        <w:r>
          <w:rPr>
            <w:rStyle w:val="a9"/>
            <w:rFonts w:ascii="Times New Roman" w:hAnsi="Times New Roman" w:cs="Times New Roman"/>
            <w:lang w:val="en-US"/>
          </w:rPr>
          <w:t>cgi</w:t>
        </w:r>
        <w:r>
          <w:rPr>
            <w:rStyle w:val="a9"/>
            <w:rFonts w:ascii="Times New Roman" w:hAnsi="Times New Roman" w:cs="Times New Roman"/>
          </w:rPr>
          <w:t>/</w:t>
        </w:r>
        <w:r>
          <w:rPr>
            <w:rStyle w:val="a9"/>
            <w:rFonts w:ascii="Times New Roman" w:hAnsi="Times New Roman" w:cs="Times New Roman"/>
            <w:lang w:val="en-US"/>
          </w:rPr>
          <w:t>online</w:t>
        </w:r>
        <w:r>
          <w:rPr>
            <w:rStyle w:val="a9"/>
            <w:rFonts w:ascii="Times New Roman" w:hAnsi="Times New Roman" w:cs="Times New Roman"/>
          </w:rPr>
          <w:t>.</w:t>
        </w:r>
        <w:r>
          <w:rPr>
            <w:rStyle w:val="a9"/>
            <w:rFonts w:ascii="Times New Roman" w:hAnsi="Times New Roman" w:cs="Times New Roman"/>
            <w:lang w:val="en-US"/>
          </w:rPr>
          <w:t>cgi</w:t>
        </w:r>
        <w:r>
          <w:rPr>
            <w:rStyle w:val="a9"/>
            <w:rFonts w:ascii="Times New Roman" w:hAnsi="Times New Roman" w:cs="Times New Roman"/>
          </w:rPr>
          <w:t>?</w:t>
        </w:r>
        <w:r>
          <w:rPr>
            <w:rStyle w:val="a9"/>
            <w:rFonts w:ascii="Times New Roman" w:hAnsi="Times New Roman" w:cs="Times New Roman"/>
            <w:lang w:val="en-US"/>
          </w:rPr>
          <w:t>req</w:t>
        </w:r>
        <w:r>
          <w:rPr>
            <w:rStyle w:val="a9"/>
            <w:rFonts w:ascii="Times New Roman" w:hAnsi="Times New Roman" w:cs="Times New Roman"/>
          </w:rPr>
          <w:t>=</w:t>
        </w:r>
        <w:r>
          <w:rPr>
            <w:rStyle w:val="a9"/>
            <w:rFonts w:ascii="Times New Roman" w:hAnsi="Times New Roman" w:cs="Times New Roman"/>
            <w:lang w:val="en-US"/>
          </w:rPr>
          <w:t>doc</w:t>
        </w:r>
        <w:r>
          <w:rPr>
            <w:rStyle w:val="a9"/>
            <w:rFonts w:ascii="Times New Roman" w:hAnsi="Times New Roman" w:cs="Times New Roman"/>
          </w:rPr>
          <w:t>&amp;</w:t>
        </w:r>
        <w:r>
          <w:rPr>
            <w:rStyle w:val="a9"/>
            <w:rFonts w:ascii="Times New Roman" w:hAnsi="Times New Roman" w:cs="Times New Roman"/>
            <w:lang w:val="en-US"/>
          </w:rPr>
          <w:t>base</w:t>
        </w:r>
        <w:r>
          <w:rPr>
            <w:rStyle w:val="a9"/>
            <w:rFonts w:ascii="Times New Roman" w:hAnsi="Times New Roman" w:cs="Times New Roman"/>
          </w:rPr>
          <w:t>=</w:t>
        </w:r>
        <w:r>
          <w:rPr>
            <w:rStyle w:val="a9"/>
            <w:rFonts w:ascii="Times New Roman" w:hAnsi="Times New Roman" w:cs="Times New Roman"/>
            <w:lang w:val="en-US"/>
          </w:rPr>
          <w:t>ARB</w:t>
        </w:r>
        <w:r>
          <w:rPr>
            <w:rStyle w:val="a9"/>
            <w:rFonts w:ascii="Times New Roman" w:hAnsi="Times New Roman" w:cs="Times New Roman"/>
          </w:rPr>
          <w:t>&amp;</w:t>
        </w:r>
        <w:r>
          <w:rPr>
            <w:rStyle w:val="a9"/>
            <w:rFonts w:ascii="Times New Roman" w:hAnsi="Times New Roman" w:cs="Times New Roman"/>
            <w:lang w:val="en-US"/>
          </w:rPr>
          <w:t>n</w:t>
        </w:r>
        <w:r>
          <w:rPr>
            <w:rStyle w:val="a9"/>
            <w:rFonts w:ascii="Times New Roman" w:hAnsi="Times New Roman" w:cs="Times New Roman"/>
          </w:rPr>
          <w:t>=527851#022279625143505433</w:t>
        </w:r>
      </w:hyperlink>
      <w:r>
        <w:rPr>
          <w:rFonts w:ascii="Times New Roman" w:hAnsi="Times New Roman" w:cs="Times New Roman"/>
          <w:sz w:val="20"/>
          <w:szCs w:val="20"/>
        </w:rPr>
        <w:t xml:space="preserve"> (дата обращения: 06.05.2020).</w:t>
      </w:r>
    </w:p>
  </w:footnote>
  <w:footnote w:id="278">
    <w:p w14:paraId="4ECCBB67"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Pr>
          <w:rStyle w:val="a7"/>
          <w:rFonts w:ascii="Times New Roman" w:hAnsi="Times New Roman" w:cs="Times New Roman"/>
          <w:sz w:val="20"/>
          <w:szCs w:val="20"/>
        </w:rPr>
        <w:footnoteRef/>
      </w:r>
      <w:r>
        <w:rPr>
          <w:rFonts w:ascii="Times New Roman" w:hAnsi="Times New Roman" w:cs="Times New Roman"/>
          <w:sz w:val="20"/>
          <w:szCs w:val="20"/>
        </w:rPr>
        <w:t xml:space="preserve"> </w:t>
      </w:r>
      <w:r>
        <w:rPr>
          <w:rFonts w:ascii="Times New Roman" w:eastAsia="Times New Roman" w:hAnsi="Times New Roman" w:cs="Times New Roman"/>
          <w:sz w:val="20"/>
          <w:szCs w:val="20"/>
          <w:lang w:eastAsia="ru-RU"/>
        </w:rPr>
        <w:t>О несостоятельности (банкротстве): федер. закон от 26.10.2002 № 127-ФЗ (ред. от 03.07.2019) // Собр. законодательства РФ. - 2002. - № 43, ст. 4190.</w:t>
      </w:r>
    </w:p>
  </w:footnote>
  <w:footnote w:id="279">
    <w:p w14:paraId="1F3E2F1E"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w:hAnsi="Times New Roman" w:cs="Times New Roman"/>
          <w:sz w:val="20"/>
          <w:szCs w:val="20"/>
        </w:rPr>
      </w:pPr>
      <w:r>
        <w:rPr>
          <w:rStyle w:val="a7"/>
          <w:rFonts w:ascii="Times New Roman" w:hAnsi="Times New Roman" w:cs="Times New Roman"/>
          <w:sz w:val="20"/>
          <w:szCs w:val="20"/>
        </w:rPr>
        <w:footnoteRef/>
      </w:r>
      <w:r>
        <w:rPr>
          <w:rFonts w:ascii="Times New Roman" w:hAnsi="Times New Roman" w:cs="Times New Roman"/>
          <w:sz w:val="20"/>
          <w:szCs w:val="20"/>
        </w:rPr>
        <w:t xml:space="preserve"> О некоторых вопросах применения общих положений Гражданского кодекса Российской Федерации о заключении и толковании договора: постановление Пленума Верховного Суда РФ от 25.12.2018 № 49 // Рос. газ. - 2019. - № 4.</w:t>
      </w:r>
    </w:p>
  </w:footnote>
  <w:footnote w:id="280">
    <w:p w14:paraId="2FA25D6D"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w:hAnsi="Times New Roman" w:cs="Times New Roman"/>
          <w:sz w:val="20"/>
          <w:szCs w:val="20"/>
        </w:rPr>
      </w:pPr>
      <w:r>
        <w:rPr>
          <w:rStyle w:val="a7"/>
          <w:rFonts w:ascii="Times New Roman" w:hAnsi="Times New Roman" w:cs="Times New Roman"/>
          <w:sz w:val="20"/>
          <w:szCs w:val="20"/>
        </w:rPr>
        <w:footnoteRef/>
      </w:r>
      <w:r>
        <w:rPr>
          <w:rFonts w:ascii="Times New Roman" w:hAnsi="Times New Roman" w:cs="Times New Roman"/>
          <w:sz w:val="20"/>
          <w:szCs w:val="20"/>
        </w:rPr>
        <w:t xml:space="preserve"> Обзор судебной практики Верховного Суда Российской Федерации № 4 (2017): утв. Президиумом Верховного Суда РФ 15.11.2017 // Бюллетень Верховного Суда РФ. - 2018. - № 11.</w:t>
      </w:r>
    </w:p>
  </w:footnote>
  <w:footnote w:id="281">
    <w:p w14:paraId="02E6FC0A"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Гражданский кодекс Российской Федерации от </w:t>
      </w:r>
      <w:r>
        <w:rPr>
          <w:rFonts w:ascii="Times New Roman" w:eastAsia="Times New Roman" w:hAnsi="Times New Roman" w:cs="Times New Roman"/>
        </w:rPr>
        <w:t xml:space="preserve">30 ноября 1994 года № 51-ФЗ  </w:t>
      </w:r>
      <w:r>
        <w:rPr>
          <w:rFonts w:ascii="Times New Roman" w:hAnsi="Times New Roman" w:cs="Times New Roman"/>
        </w:rPr>
        <w:t>(ред. от 27.07.2018) (с изм. и доп., вступ. в силу с 01.02.2019)</w:t>
      </w:r>
      <w:r>
        <w:rPr>
          <w:rFonts w:ascii="Times New Roman" w:eastAsia="Calibri" w:hAnsi="Times New Roman" w:cs="Times New Roman"/>
        </w:rPr>
        <w:t xml:space="preserve"> </w:t>
      </w:r>
      <w:r>
        <w:rPr>
          <w:rFonts w:ascii="Times New Roman" w:hAnsi="Times New Roman" w:cs="Times New Roman"/>
        </w:rPr>
        <w:t xml:space="preserve"> </w:t>
      </w:r>
      <w:r>
        <w:rPr>
          <w:rFonts w:ascii="Times New Roman" w:eastAsia="Calibri" w:hAnsi="Times New Roman" w:cs="Times New Roman"/>
        </w:rPr>
        <w:t xml:space="preserve">// </w:t>
      </w:r>
      <w:r>
        <w:rPr>
          <w:rFonts w:ascii="Times New Roman" w:hAnsi="Times New Roman" w:cs="Times New Roman"/>
        </w:rPr>
        <w:t xml:space="preserve">Российская газета </w:t>
      </w:r>
      <w:r>
        <w:rPr>
          <w:rFonts w:ascii="Times New Roman" w:eastAsia="Times New Roman" w:hAnsi="Times New Roman" w:cs="Times New Roman"/>
        </w:rPr>
        <w:t>30 ноября 1994 г.</w:t>
      </w:r>
    </w:p>
  </w:footnote>
  <w:footnote w:id="282">
    <w:p w14:paraId="725FAC26"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Курбатов А.Я. Признание договоров незаключенными как следствие невосполнимости и их существенных условий. -М.: 2017, -60 с.</w:t>
      </w:r>
    </w:p>
  </w:footnote>
  <w:footnote w:id="283">
    <w:p w14:paraId="5B5C2790"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shd w:val="clear" w:color="auto" w:fill="FFFFFF"/>
        </w:rPr>
        <w:t>Минаева Л.Н. Договоры. Практическое применение. -М.:</w:t>
      </w:r>
      <w:r>
        <w:rPr>
          <w:rStyle w:val="ac"/>
          <w:rFonts w:ascii="Times New Roman" w:hAnsi="Times New Roman" w:cs="Times New Roman"/>
          <w:shd w:val="clear" w:color="auto" w:fill="FFFFFF"/>
        </w:rPr>
        <w:t>2018</w:t>
      </w:r>
      <w:r>
        <w:rPr>
          <w:rFonts w:ascii="Times New Roman" w:hAnsi="Times New Roman" w:cs="Times New Roman"/>
          <w:shd w:val="clear" w:color="auto" w:fill="FFFFFF"/>
        </w:rPr>
        <w:t>,- 822-823 с.</w:t>
      </w:r>
    </w:p>
  </w:footnote>
  <w:footnote w:id="284">
    <w:p w14:paraId="7966B685"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shd w:val="clear" w:color="auto" w:fill="FFFFFF"/>
        </w:rPr>
        <w:t>Постановление Президиума ВАС РФ от 23 августа 2005 г. № 1928/05.</w:t>
      </w:r>
      <w:r>
        <w:rPr>
          <w:rFonts w:ascii="Times New Roman" w:eastAsia="Calibri" w:hAnsi="Times New Roman" w:cs="Times New Roman"/>
        </w:rPr>
        <w:t xml:space="preserve"> // СПС «КонсультантПлюс».</w:t>
      </w:r>
    </w:p>
  </w:footnote>
  <w:footnote w:id="285">
    <w:p w14:paraId="74750C24"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eastAsia="Times New Roman" w:hAnsi="Times New Roman" w:cs="Times New Roman"/>
          <w:lang w:eastAsia="ru-RU"/>
        </w:rPr>
        <w:t xml:space="preserve">Информационное письмо Президиума ВАС РФ от 24 января 2000 г. № 51 </w:t>
      </w:r>
      <w:r>
        <w:rPr>
          <w:rFonts w:ascii="Times New Roman" w:eastAsia="Calibri" w:hAnsi="Times New Roman" w:cs="Times New Roman"/>
        </w:rPr>
        <w:t>// СПС «КонсультантПлюс».</w:t>
      </w:r>
    </w:p>
  </w:footnote>
  <w:footnote w:id="286">
    <w:p w14:paraId="495FBCC9"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О водоснабжении и водоотведении: ФЗ от 07.12.2011 № 416 (последняя редакция) </w:t>
      </w:r>
      <w:r>
        <w:rPr>
          <w:rFonts w:ascii="Times New Roman" w:eastAsia="Calibri" w:hAnsi="Times New Roman" w:cs="Times New Roman"/>
        </w:rPr>
        <w:t xml:space="preserve">// </w:t>
      </w:r>
      <w:r>
        <w:rPr>
          <w:rFonts w:ascii="Times New Roman" w:hAnsi="Times New Roman" w:cs="Times New Roman"/>
        </w:rPr>
        <w:t xml:space="preserve">Российская газета </w:t>
      </w:r>
      <w:r>
        <w:rPr>
          <w:rFonts w:ascii="Times New Roman" w:hAnsi="Times New Roman" w:cs="Times New Roman"/>
          <w:shd w:val="clear" w:color="auto" w:fill="FFFFFF"/>
        </w:rPr>
        <w:t>7</w:t>
      </w:r>
      <w:r>
        <w:rPr>
          <w:rStyle w:val="nobr"/>
          <w:rFonts w:ascii="Times New Roman" w:hAnsi="Times New Roman" w:cs="Times New Roman"/>
          <w:shd w:val="clear" w:color="auto" w:fill="FFFFFF"/>
        </w:rPr>
        <w:t> </w:t>
      </w:r>
      <w:r>
        <w:rPr>
          <w:rFonts w:ascii="Times New Roman" w:hAnsi="Times New Roman" w:cs="Times New Roman"/>
          <w:shd w:val="clear" w:color="auto" w:fill="FFFFFF"/>
        </w:rPr>
        <w:t>декабря</w:t>
      </w:r>
      <w:r>
        <w:rPr>
          <w:rStyle w:val="nobr"/>
          <w:rFonts w:ascii="Times New Roman" w:hAnsi="Times New Roman" w:cs="Times New Roman"/>
          <w:shd w:val="clear" w:color="auto" w:fill="FFFFFF"/>
        </w:rPr>
        <w:t> </w:t>
      </w:r>
      <w:r>
        <w:rPr>
          <w:rFonts w:ascii="Times New Roman" w:hAnsi="Times New Roman" w:cs="Times New Roman"/>
          <w:shd w:val="clear" w:color="auto" w:fill="FFFFFF"/>
        </w:rPr>
        <w:t>2011.</w:t>
      </w:r>
    </w:p>
  </w:footnote>
  <w:footnote w:id="287">
    <w:p w14:paraId="78DA40A9"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Шевченко Е.Е. Заключение гражданско-правовых договоров: проблемы теории и судебно-арбитражной практики. -М.: Инфотропик Медиа, 2018.-68-69 с.</w:t>
      </w:r>
    </w:p>
  </w:footnote>
  <w:footnote w:id="288">
    <w:p w14:paraId="67EF84D5"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Егорова М.А. Признание договора незаключенным как способ защиты гражданских прав. Гражданское право. -М.: 2018, -34 с.</w:t>
      </w:r>
    </w:p>
  </w:footnote>
  <w:footnote w:id="289">
    <w:p w14:paraId="6AC7DFE1"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Витрянский В.В. Реформа российского гражданского законодательства: промежуточные итоги. -М.: Статут, 2019. -134 с.</w:t>
      </w:r>
    </w:p>
  </w:footnote>
  <w:footnote w:id="290">
    <w:p w14:paraId="10E4A849"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Обзор судебной практики по спорам, связанным с признанием договоров незаключенными: Информационное письмо Президиума ВАС РФ от 25.02.2014 № 165 </w:t>
      </w:r>
      <w:r>
        <w:rPr>
          <w:rFonts w:ascii="Times New Roman" w:eastAsia="Calibri" w:hAnsi="Times New Roman" w:cs="Times New Roman"/>
        </w:rPr>
        <w:t>// СПС «КонсультантПлюс».</w:t>
      </w:r>
    </w:p>
  </w:footnote>
  <w:footnote w:id="291">
    <w:p w14:paraId="63C70210" w14:textId="6C19DE64" w:rsidR="00FD5ABB" w:rsidRDefault="00FD5AB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sz w:val="22"/>
          <w:szCs w:val="22"/>
          <w:lang w:val="ru-RU"/>
        </w:rPr>
      </w:pPr>
      <w:r>
        <w:rPr>
          <w:rStyle w:val="a7"/>
        </w:rPr>
        <w:footnoteRef/>
      </w:r>
      <w:r>
        <w:rPr>
          <w:lang w:val="ru-RU"/>
        </w:rPr>
        <w:t xml:space="preserve"> </w:t>
      </w:r>
      <w:r>
        <w:rPr>
          <w:shd w:val="clear" w:color="auto" w:fill="FFFFFF"/>
          <w:lang w:val="ru-RU"/>
        </w:rPr>
        <w:t>Скловский К.И. Сделка и ее действие. Комментарий главы 9 ГК РФ. Принцип добросовестности. 4-е изд., доп. Москва: Статут, 2019. 278 с.</w:t>
      </w:r>
    </w:p>
  </w:footnote>
  <w:footnote w:id="292">
    <w:p w14:paraId="750F09F9" w14:textId="377598DE" w:rsidR="00FD5ABB" w:rsidRDefault="00FD5AB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sz w:val="22"/>
          <w:szCs w:val="22"/>
          <w:lang w:val="ru-RU"/>
        </w:rPr>
      </w:pPr>
      <w:r>
        <w:rPr>
          <w:rStyle w:val="a7"/>
        </w:rPr>
        <w:footnoteRef/>
      </w:r>
      <w:r>
        <w:rPr>
          <w:lang w:val="ru-RU"/>
        </w:rPr>
        <w:t xml:space="preserve"> </w:t>
      </w:r>
      <w:r>
        <w:rPr>
          <w:shd w:val="clear" w:color="auto" w:fill="FFFFFF"/>
          <w:lang w:val="ru-RU"/>
        </w:rPr>
        <w:t>Василевская Л.Ю. Договор и соглашение в гражданском праве: критерии разграничения понятий // Юрист. 2017. № 22. С. 9 - 13.</w:t>
      </w:r>
    </w:p>
  </w:footnote>
  <w:footnote w:id="293">
    <w:p w14:paraId="5CFE9D27"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851"/>
        <w:jc w:val="both"/>
      </w:pPr>
      <w:r>
        <w:rPr>
          <w:rStyle w:val="a7"/>
          <w:rFonts w:ascii="Calibri" w:hAnsi="Calibri"/>
          <w:sz w:val="24"/>
          <w:szCs w:val="24"/>
        </w:rPr>
        <w:footnoteRef/>
      </w:r>
      <w:r>
        <w:rPr>
          <w:sz w:val="24"/>
          <w:szCs w:val="24"/>
        </w:rPr>
        <w:t xml:space="preserve"> </w:t>
      </w:r>
      <w:r>
        <w:rPr>
          <w:rFonts w:ascii="Times New Roman" w:hAnsi="Times New Roman"/>
          <w:sz w:val="24"/>
          <w:szCs w:val="24"/>
        </w:rPr>
        <w:t>О применении судами некоторых положений раздела I части первой Гражданского кодекса Российской Федерации: Постановление Пленума Верховного Суда РФ от 23.06.2015 № 25// "Российская газета", № 140, 30.06.2015</w:t>
      </w:r>
    </w:p>
  </w:footnote>
  <w:footnote w:id="294">
    <w:p w14:paraId="2EDFB936" w14:textId="77777777" w:rsidR="00FD5ABB" w:rsidRDefault="00FD5AB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shd w:val="clear" w:color="auto" w:fill="FFFFFF"/>
          <w:lang w:val="ru-RU"/>
        </w:rPr>
      </w:pPr>
      <w:r>
        <w:rPr>
          <w:rStyle w:val="a7"/>
        </w:rPr>
        <w:footnoteRef/>
      </w:r>
      <w:r>
        <w:rPr>
          <w:lang w:val="ru-RU"/>
        </w:rPr>
        <w:t xml:space="preserve"> </w:t>
      </w:r>
      <w:r>
        <w:rPr>
          <w:shd w:val="clear" w:color="auto" w:fill="FFFFFF"/>
          <w:lang w:val="ru-RU"/>
        </w:rPr>
        <w:t>Авхадеев В.Р., Асташова В.С., Андриченко Л.В. и др. Договор как общеправовая ценность: Монография. М.: ИЗиСП, Статут, 2018. 381 с.</w:t>
      </w:r>
    </w:p>
    <w:p w14:paraId="57D11080" w14:textId="77777777" w:rsidR="00FD5ABB" w:rsidRDefault="00FD5AB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sz w:val="22"/>
          <w:szCs w:val="22"/>
          <w:lang w:val="ru-RU"/>
        </w:rPr>
      </w:pPr>
    </w:p>
  </w:footnote>
  <w:footnote w:id="295">
    <w:p w14:paraId="6301D7CA" w14:textId="0E998221" w:rsidR="007572E9" w:rsidRDefault="007572E9" w:rsidP="007572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851"/>
        <w:jc w:val="both"/>
      </w:pPr>
      <w:r>
        <w:rPr>
          <w:rStyle w:val="a7"/>
        </w:rPr>
        <w:footnoteRef/>
      </w:r>
      <w:r>
        <w:t xml:space="preserve"> </w:t>
      </w:r>
      <w:r>
        <w:rPr>
          <w:rFonts w:ascii="Times New Roman" w:hAnsi="Times New Roman"/>
          <w:sz w:val="24"/>
          <w:szCs w:val="24"/>
        </w:rPr>
        <w:t>О применении судами некоторых положений раздела I части первой Гражданского кодекса Российской Федерации: Постановление Пленума Верховного Суда РФ от 23.06.2015 № 25// "Российская газета", № 140, 30.06.2015.</w:t>
      </w:r>
    </w:p>
  </w:footnote>
  <w:footnote w:id="296">
    <w:p w14:paraId="576F8FA5" w14:textId="266A4FBF" w:rsidR="007572E9" w:rsidRDefault="007572E9" w:rsidP="007572E9">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pPr>
      <w:r>
        <w:rPr>
          <w:rStyle w:val="a7"/>
        </w:rPr>
        <w:footnoteRef/>
      </w:r>
      <w:r w:rsidRPr="007572E9">
        <w:rPr>
          <w:lang w:val="ru-RU"/>
        </w:rPr>
        <w:t xml:space="preserve"> </w:t>
      </w:r>
      <w:r>
        <w:rPr>
          <w:shd w:val="clear" w:color="auto" w:fill="FFFFFF"/>
          <w:lang w:val="ru-RU"/>
        </w:rPr>
        <w:t>Гражданское право: учебник: в 2 т. / С.С. Алексеев, О.Г. Алексеева, К.П. Беляев и др.; под ред. Б.М. Гонгало. 3-е изд., перераб. и доп. М.: Статут, 2018. Т. 1. 528 с.</w:t>
      </w:r>
    </w:p>
  </w:footnote>
  <w:footnote w:id="297">
    <w:p w14:paraId="46E89DEB" w14:textId="284F2D0E" w:rsidR="007572E9" w:rsidRDefault="007572E9" w:rsidP="007572E9">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pPr>
      <w:r>
        <w:rPr>
          <w:rStyle w:val="a7"/>
        </w:rPr>
        <w:footnoteRef/>
      </w:r>
      <w:r w:rsidRPr="007572E9">
        <w:rPr>
          <w:lang w:val="ru-RU"/>
        </w:rPr>
        <w:t xml:space="preserve"> </w:t>
      </w:r>
      <w:r>
        <w:rPr>
          <w:shd w:val="clear" w:color="auto" w:fill="FFFFFF"/>
          <w:lang w:val="ru-RU"/>
        </w:rPr>
        <w:t>Василевская Л.Ю. Договор и соглашение в гражданском праве: критерии разграничения понятий // Юрист. 2017. № 22. С. 9 - 13.</w:t>
      </w:r>
    </w:p>
  </w:footnote>
  <w:footnote w:id="298">
    <w:p w14:paraId="74CE564E" w14:textId="77777777" w:rsidR="00FD5ABB" w:rsidRDefault="00FD5AB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lang w:val="ru-RU"/>
        </w:rPr>
      </w:pPr>
      <w:r>
        <w:rPr>
          <w:rStyle w:val="a7"/>
        </w:rPr>
        <w:footnoteRef/>
      </w:r>
      <w:r>
        <w:rPr>
          <w:lang w:val="ru-RU"/>
        </w:rPr>
        <w:t xml:space="preserve"> </w:t>
      </w:r>
      <w:r>
        <w:rPr>
          <w:shd w:val="clear" w:color="auto" w:fill="FFFFFF"/>
          <w:lang w:val="ru-RU"/>
        </w:rPr>
        <w:t>Василевская Л.Ю. Договор и соглашение в гражданском праве: критерии разграничения понятий // Юрист. 2017. № 22. С. 9 - 13.</w:t>
      </w:r>
    </w:p>
  </w:footnote>
  <w:footnote w:id="299">
    <w:p w14:paraId="2AD1D5BD" w14:textId="77777777" w:rsidR="00FD5ABB" w:rsidRDefault="00FD5ABB" w:rsidP="001B6C3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lang w:val="ru-RU"/>
        </w:rPr>
      </w:pPr>
      <w:r>
        <w:rPr>
          <w:rStyle w:val="a7"/>
        </w:rPr>
        <w:footnoteRef/>
      </w:r>
      <w:r>
        <w:rPr>
          <w:lang w:val="ru-RU"/>
        </w:rPr>
        <w:t xml:space="preserve"> </w:t>
      </w:r>
      <w:r>
        <w:rPr>
          <w:shd w:val="clear" w:color="auto" w:fill="FFFFFF"/>
          <w:lang w:val="ru-RU"/>
        </w:rPr>
        <w:t>Иванова С.В. Гражданские права // СПС КонсультантПлюс. 2020.</w:t>
      </w:r>
    </w:p>
  </w:footnote>
  <w:footnote w:id="300">
    <w:p w14:paraId="3C76A0BB"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Миролюбова О.Г. Актуальные проблемы жилищного права. Семья и жилище. — Ярославль : ЯрГУ, 2013.— С. 32.</w:t>
      </w:r>
    </w:p>
  </w:footnote>
  <w:footnote w:id="301">
    <w:p w14:paraId="2E010099"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Pr>
          <w:rStyle w:val="a7"/>
          <w:rFonts w:ascii="Times New Roman" w:hAnsi="Times New Roman" w:cs="Times New Roman"/>
        </w:rPr>
        <w:footnoteRef/>
      </w:r>
      <w:r>
        <w:rPr>
          <w:rFonts w:ascii="Times New Roman" w:hAnsi="Times New Roman" w:cs="Times New Roman"/>
        </w:rPr>
        <w:t>Миролюбова О.Г. Право семьи на жилище. Учебное пособие. — М.: Проспект. 2015. С. 73</w:t>
      </w:r>
    </w:p>
  </w:footnote>
  <w:footnote w:id="302">
    <w:p w14:paraId="7780CAA4"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Баринова Е.А. Вещные права в системе субъективных гражданских прав // Актуальные проблемы гражданского права: Сборник статей. Вып. 6 / Под ред. О.Ю. Шилохвоста. М., </w:t>
      </w:r>
      <w:r>
        <w:rPr>
          <w:sz w:val="27"/>
          <w:szCs w:val="27"/>
        </w:rPr>
        <w:t xml:space="preserve">– </w:t>
      </w:r>
      <w:r>
        <w:rPr>
          <w:rFonts w:ascii="Times New Roman" w:hAnsi="Times New Roman" w:cs="Times New Roman"/>
        </w:rPr>
        <w:t>2003.</w:t>
      </w:r>
      <w:r>
        <w:rPr>
          <w:sz w:val="27"/>
          <w:szCs w:val="27"/>
        </w:rPr>
        <w:t xml:space="preserve"> – </w:t>
      </w:r>
      <w:r>
        <w:rPr>
          <w:rFonts w:ascii="Times New Roman" w:hAnsi="Times New Roman" w:cs="Times New Roman"/>
        </w:rPr>
        <w:t xml:space="preserve"> </w:t>
      </w:r>
      <w:r>
        <w:rPr>
          <w:szCs w:val="27"/>
        </w:rPr>
        <w:t>№6.</w:t>
      </w:r>
      <w:r>
        <w:rPr>
          <w:sz w:val="27"/>
          <w:szCs w:val="27"/>
        </w:rPr>
        <w:t xml:space="preserve"> –</w:t>
      </w:r>
      <w:r>
        <w:rPr>
          <w:szCs w:val="27"/>
        </w:rPr>
        <w:t xml:space="preserve"> </w:t>
      </w:r>
      <w:r>
        <w:rPr>
          <w:rFonts w:ascii="Times New Roman" w:hAnsi="Times New Roman" w:cs="Times New Roman"/>
        </w:rPr>
        <w:t>С. 165-166.</w:t>
      </w:r>
    </w:p>
  </w:footnote>
  <w:footnote w:id="303">
    <w:p w14:paraId="22EAE659"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Суханов Е.А. К понятию вещного права // Правовые вопросы недвижимости. 2005. № 1. – С. 5-19.</w:t>
      </w:r>
    </w:p>
  </w:footnote>
  <w:footnote w:id="304">
    <w:p w14:paraId="2893A60C"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Ахметьянова З.А. Вещное право: Учебник. — М.: Статут, 2011. С.302</w:t>
      </w:r>
    </w:p>
  </w:footnote>
  <w:footnote w:id="305">
    <w:p w14:paraId="4355D94D"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Fonts w:ascii="Times New Roman" w:hAnsi="Times New Roman" w:cs="Times New Roman"/>
          <w:vertAlign w:val="superscript"/>
        </w:rPr>
        <w:footnoteRef/>
      </w:r>
      <w:r>
        <w:rPr>
          <w:rFonts w:ascii="Times New Roman" w:hAnsi="Times New Roman" w:cs="Times New Roman"/>
        </w:rPr>
        <w:t xml:space="preserve"> Идрисова Н.Г. О праве бессрочного пользования жилым помещением // Пробелы в российском законодательстве. Юридический журнал // 2015.</w:t>
      </w:r>
    </w:p>
  </w:footnote>
  <w:footnote w:id="306">
    <w:p w14:paraId="4F7E28A0"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Кудрявцева Л.В., Шевченко В.С. Члены семьи собственника жилого помещения: проблемы теории и практики. //Международное научное издание. Современные фундаментальные и прикладные исследования. 2017. №2- 1 (25). - С.146</w:t>
      </w:r>
    </w:p>
  </w:footnote>
  <w:footnote w:id="307">
    <w:p w14:paraId="35E9712B"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Calibri" w:hAnsi="Times New Roman" w:cs="Times New Roman"/>
          <w:sz w:val="20"/>
          <w:szCs w:val="20"/>
        </w:rPr>
      </w:pPr>
      <w:r>
        <w:rPr>
          <w:rStyle w:val="a7"/>
          <w:rFonts w:ascii="Times New Roman" w:hAnsi="Times New Roman" w:cs="Times New Roman"/>
          <w:sz w:val="20"/>
          <w:szCs w:val="20"/>
        </w:rPr>
        <w:footnoteRef/>
      </w:r>
      <w:r>
        <w:rPr>
          <w:rFonts w:ascii="Times New Roman" w:hAnsi="Times New Roman" w:cs="Times New Roman"/>
          <w:sz w:val="20"/>
          <w:szCs w:val="20"/>
        </w:rPr>
        <w:t xml:space="preserve"> </w:t>
      </w:r>
      <w:r>
        <w:rPr>
          <w:rFonts w:ascii="Times New Roman" w:eastAsia="Calibri" w:hAnsi="Times New Roman" w:cs="Times New Roman"/>
          <w:sz w:val="20"/>
          <w:szCs w:val="20"/>
        </w:rPr>
        <w:t>Семейный кодекс Российской Федерации от 29.12.1995 № 223-ФЗ (ред. от 06.02.2020)</w:t>
      </w:r>
      <w:r>
        <w:rPr>
          <w:rFonts w:ascii="Times New Roman" w:eastAsia="Times New Roman" w:hAnsi="Times New Roman" w:cs="Times New Roman"/>
          <w:sz w:val="20"/>
          <w:szCs w:val="20"/>
          <w:lang w:eastAsia="ru-RU"/>
        </w:rPr>
        <w:t xml:space="preserve"> // </w:t>
      </w:r>
      <w:r>
        <w:rPr>
          <w:rFonts w:ascii="Times New Roman" w:eastAsia="Calibri" w:hAnsi="Times New Roman" w:cs="Times New Roman"/>
          <w:sz w:val="20"/>
          <w:szCs w:val="20"/>
        </w:rPr>
        <w:t>Собрание законодательства РФ от 01.01.1996, № 1, ст. 16.</w:t>
      </w:r>
    </w:p>
  </w:footnote>
  <w:footnote w:id="308">
    <w:p w14:paraId="57A75FCD"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eastAsia="Calibri" w:hAnsi="Times New Roman" w:cs="Times New Roman"/>
        </w:rPr>
        <w:t>Гражданский кодекс Российской Федерации (часть третья) от 26.11.2001 № 146-ФЗ (ред. от 18.03.2019)</w:t>
      </w:r>
      <w:r>
        <w:rPr>
          <w:rFonts w:ascii="Times New Roman" w:eastAsia="Times New Roman" w:hAnsi="Times New Roman" w:cs="Times New Roman"/>
          <w:lang w:eastAsia="ru-RU"/>
        </w:rPr>
        <w:t xml:space="preserve"> // </w:t>
      </w:r>
      <w:r>
        <w:rPr>
          <w:rFonts w:ascii="Times New Roman" w:eastAsia="Calibri" w:hAnsi="Times New Roman" w:cs="Times New Roman"/>
        </w:rPr>
        <w:t>Собрание законодательства РФ от 03.12.2001, № 49, ст. 4552.</w:t>
      </w:r>
    </w:p>
  </w:footnote>
  <w:footnote w:id="309">
    <w:p w14:paraId="4B132BDD"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Моисеева Т. М. Совместная собственность супругов и (или) общее имущество супругов: анализ современного семейного и гражданского законодательства // Актуальные проблемы российского права. – 2017. - № 11. – С. 45-52.</w:t>
      </w:r>
    </w:p>
    <w:p w14:paraId="3986A8CF"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p>
  </w:footnote>
  <w:footnote w:id="310">
    <w:p w14:paraId="7E06D9C6"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Кудрявцева Л.В. Сущность гражданско-правового договора как института правового регулирования трудовых отношений, осложненных иностранным элементом. //Пробелы в российском законодательстве. - 2011. - №3. - С.96.</w:t>
      </w:r>
    </w:p>
  </w:footnote>
  <w:footnote w:id="311">
    <w:p w14:paraId="67DD7331"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Войтович Е.П. Коллизионное регулирование имущественных отношений супругов в Российской Федерации / Е.П. Войтович, Н.Ю. Чернусь // Семейное и жилищное право.- 2018.- № 2. -С. 7 – 11.</w:t>
      </w:r>
    </w:p>
  </w:footnote>
  <w:footnote w:id="312">
    <w:p w14:paraId="35991F27"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Матвеева Н.А. Нотариальное удостоверение соглашения о разделе общего совместного имущества супругов / Н.А. Матвеева // Нотариус.- 2016.- № 5.- С. 20 – 21.</w:t>
      </w:r>
    </w:p>
  </w:footnote>
  <w:footnote w:id="313">
    <w:p w14:paraId="4E4CFAC7"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Основы законодательства Российской Федерации о нотариате (утв. ВС РФ 11.02.1993 N 4462-1) (ред. от 27.12.2019) //</w:t>
      </w:r>
      <w:r>
        <w:rPr>
          <w:rFonts w:ascii="Times New Roman" w:eastAsia="Times New Roman" w:hAnsi="Times New Roman" w:cs="Times New Roman"/>
          <w:lang w:eastAsia="ru-RU"/>
        </w:rPr>
        <w:t xml:space="preserve"> </w:t>
      </w:r>
      <w:r>
        <w:rPr>
          <w:rFonts w:ascii="Times New Roman" w:hAnsi="Times New Roman" w:cs="Times New Roman"/>
        </w:rPr>
        <w:t>Российская газета , № 49 от 13.03.1993.</w:t>
      </w:r>
    </w:p>
    <w:p w14:paraId="7A3D7570"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p>
    <w:p w14:paraId="22CF3F07"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p>
  </w:footnote>
  <w:footnote w:id="314">
    <w:p w14:paraId="03B1B468"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Войтович Е.П. Правовое регулирование семейных отношений с участием иностранцев в Российской Федерации: итоги и перспективы / Е.П. Войтович // Актуальные проблемы российского права.- 2017.- № 5(78).- С. 137 – 141.</w:t>
      </w:r>
    </w:p>
  </w:footnote>
  <w:footnote w:id="315">
    <w:p w14:paraId="5362AA7C"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Гражданский процессуальный кодекс Российской Федерации от 14.11.2002 № 138-ФЗ (ред. от 24.04.2020) //</w:t>
      </w:r>
      <w:r>
        <w:rPr>
          <w:rFonts w:ascii="Times New Roman" w:eastAsia="Times New Roman" w:hAnsi="Times New Roman" w:cs="Times New Roman"/>
          <w:lang w:eastAsia="ru-RU"/>
        </w:rPr>
        <w:t xml:space="preserve"> </w:t>
      </w:r>
      <w:r>
        <w:rPr>
          <w:rFonts w:ascii="Times New Roman" w:hAnsi="Times New Roman" w:cs="Times New Roman"/>
        </w:rPr>
        <w:t>Собрание законодательства РФ от 18.11.2002, № 46, ст. 4532.</w:t>
      </w:r>
    </w:p>
    <w:p w14:paraId="0B333370"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p>
    <w:p w14:paraId="464901BD"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p>
  </w:footnote>
  <w:footnote w:id="316">
    <w:p w14:paraId="79D49662"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sym w:font="Symbol" w:char="F02A"/>
      </w:r>
      <w:r>
        <w:rPr>
          <w:rFonts w:ascii="Times New Roman" w:hAnsi="Times New Roman" w:cs="Times New Roman"/>
        </w:rPr>
        <w:t xml:space="preserve"> Исследование выполнено при финансовой поддержке РФФИ, проект «Саморегулируемая организация как правовая модель внедрения и развития социального предпринимательства в строительной сфере» №18-011-00974</w:t>
      </w:r>
    </w:p>
  </w:footnote>
  <w:footnote w:id="317">
    <w:p w14:paraId="6B9A2EED"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Камышанский В.П. К вопросу об ограничении прав саморегулируемых организаций. «Законы России: опыт, анализ, практика», 2017, N 8. Доступ из справ.-правовой системы «КонсультантПлюс».</w:t>
      </w:r>
    </w:p>
  </w:footnote>
  <w:footnote w:id="318">
    <w:p w14:paraId="150727B8"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Мы уже накопили достаточный опыт саморегулирования. http://nostroy.ru/articles/detail.php?ELEMENT_ID=2894 (дата обращения: 12.03.2020).</w:t>
      </w:r>
    </w:p>
  </w:footnote>
  <w:footnote w:id="319">
    <w:p w14:paraId="4E8B8DCB"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Петров Д. А. Контрольная функция саморегулируемых организаций: содержание и проблемы осуществления // Конкурентное право. 2014. N 1. С. 30 - 35.с</w:t>
      </w:r>
    </w:p>
  </w:footnote>
  <w:footnote w:id="320">
    <w:p w14:paraId="5ACB7751"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Федеральный закон «О внесении изменений в Федеральный закон «О саморегулируемых организациях» и в отдельные законодательные акты Российской Федерации»: URL: http://regulation.gov.ru/projects#search=00/03-23215/02-15/12-13-4&amp;npa=20508 (дата обращения: 17.03.2020)</w:t>
      </w:r>
    </w:p>
  </w:footnote>
  <w:footnote w:id="321">
    <w:p w14:paraId="4AAD3EB5"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Федеральный закон от 27.07.2010 г. N 240-ФЗ «О внесении изменений в Градостроительный кодекс Российской Федерации и отдельные законодательные акты Российской Федерации» URL: http://regulation.gov.ru/projects#search=00/03-23215/02-15/12-13-4&amp;npa=20508 (дата обращения: 17.03.2020)</w:t>
      </w:r>
    </w:p>
    <w:p w14:paraId="734B8F40"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Fonts w:ascii="Times New Roman" w:hAnsi="Times New Roman" w:cs="Times New Roman"/>
        </w:rPr>
        <w:t>.</w:t>
      </w:r>
    </w:p>
  </w:footnote>
  <w:footnote w:id="322">
    <w:p w14:paraId="34C380DD"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Белая О.В. Отдельные аспекты осуществления контрольной деятельности СРО в области строительства в отношении своих членов. «Законы России: опыт, анализ, практика», 2017, N 11. Доступ из справ.-правовой системы «КонсультантПлюс».</w:t>
      </w:r>
    </w:p>
  </w:footnote>
  <w:footnote w:id="323">
    <w:p w14:paraId="4B336671" w14:textId="77777777" w:rsidR="00FD5ABB" w:rsidRDefault="00FD5ABB" w:rsidP="001B6C3B">
      <w:pPr>
        <w:pStyle w:val="a5"/>
        <w:tabs>
          <w:tab w:val="left" w:pos="142"/>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Лескова Ю. Г. Концептуальные и правовые основы саморегулирования предпринимательских отношений. М.: Статут, 2013. Доступ из справ.-правовой системы «КонсультантПлюс».</w:t>
      </w:r>
    </w:p>
  </w:footnote>
  <w:footnote w:id="324">
    <w:p w14:paraId="0DEDD3D2"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Постановление Арбитражного суда Московского округа от 28.08.2017 г. по делу №А40-252010/2016; Постановление Арбитражного суда Московского округа от 05.03.2017 г. по делу №А40-239460/2016.</w:t>
      </w:r>
    </w:p>
  </w:footnote>
  <w:footnote w:id="325">
    <w:p w14:paraId="77E3DFCD"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Российское гражданское право: Учебник: В 2 т. / Отв. ред. Е.А. Суханов. - М., 2016. Т. 1. - С. 539</w:t>
      </w:r>
    </w:p>
  </w:footnote>
  <w:footnote w:id="326">
    <w:p w14:paraId="7C0DA45E"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Постановления Суда по интеллектуальным правам от 22 июля 2014 года № С01-639/2014 по делу </w:t>
      </w:r>
      <w:hyperlink r:id="rId7" w:history="1">
        <w:r>
          <w:rPr>
            <w:rStyle w:val="a9"/>
            <w:rFonts w:ascii="Times New Roman" w:hAnsi="Times New Roman" w:cs="Times New Roman"/>
          </w:rPr>
          <w:t>№ А40-138710/2013</w:t>
        </w:r>
      </w:hyperlink>
      <w:r>
        <w:rPr>
          <w:rFonts w:ascii="Times New Roman" w:hAnsi="Times New Roman" w:cs="Times New Roman"/>
        </w:rPr>
        <w:t xml:space="preserve"> // Справочная Правовая Система «КонсультантПлюс».</w:t>
      </w:r>
    </w:p>
  </w:footnote>
  <w:footnote w:id="327">
    <w:p w14:paraId="3267B5BE"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hyperlink r:id="rId8" w:history="1">
        <w:r>
          <w:rPr>
            <w:rStyle w:val="a9"/>
            <w:rFonts w:ascii="Times New Roman" w:hAnsi="Times New Roman" w:cs="Times New Roman"/>
          </w:rPr>
          <w:t>Комментарий</w:t>
        </w:r>
      </w:hyperlink>
      <w:r>
        <w:rPr>
          <w:rFonts w:ascii="Times New Roman" w:hAnsi="Times New Roman" w:cs="Times New Roman"/>
        </w:rPr>
        <w:t xml:space="preserve"> к части четвертой Гражданского кодекса Российской Федерации (постатейный) / Под ред. Э.П. Гаврилова, В.И. Еременко. - М., 2018. - С. 282.</w:t>
      </w:r>
    </w:p>
  </w:footnote>
  <w:footnote w:id="328">
    <w:p w14:paraId="4FB3FCC9"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i/>
        </w:rPr>
        <w:t xml:space="preserve">Войниканис Е.А. </w:t>
      </w:r>
      <w:hyperlink r:id="rId9" w:history="1">
        <w:r>
          <w:rPr>
            <w:rStyle w:val="a9"/>
            <w:rFonts w:ascii="Times New Roman" w:hAnsi="Times New Roman" w:cs="Times New Roman"/>
          </w:rPr>
          <w:t>Право интеллектуальной собственности в цифровую эпоху</w:t>
        </w:r>
      </w:hyperlink>
      <w:r>
        <w:rPr>
          <w:rFonts w:ascii="Times New Roman" w:hAnsi="Times New Roman" w:cs="Times New Roman"/>
        </w:rPr>
        <w:t>: парадигма баланса и гибкости. - М., 2013. – С. 161.</w:t>
      </w:r>
    </w:p>
  </w:footnote>
  <w:footnote w:id="329">
    <w:p w14:paraId="46F57ECA"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cs="Times New Roman"/>
          <w:sz w:val="20"/>
          <w:szCs w:val="20"/>
        </w:rPr>
      </w:pPr>
      <w:r>
        <w:rPr>
          <w:rStyle w:val="a7"/>
          <w:rFonts w:ascii="Times New Roman" w:hAnsi="Times New Roman" w:cs="Times New Roman"/>
          <w:sz w:val="20"/>
          <w:szCs w:val="20"/>
        </w:rPr>
        <w:footnoteRef/>
      </w:r>
      <w:r>
        <w:rPr>
          <w:rFonts w:ascii="Times New Roman" w:hAnsi="Times New Roman" w:cs="Times New Roman"/>
          <w:i/>
          <w:sz w:val="20"/>
          <w:szCs w:val="20"/>
        </w:rPr>
        <w:t xml:space="preserve">Волынкина М.В. </w:t>
      </w:r>
      <w:hyperlink r:id="rId10" w:history="1">
        <w:r>
          <w:rPr>
            <w:rStyle w:val="a9"/>
            <w:rFonts w:ascii="Times New Roman" w:hAnsi="Times New Roman" w:cs="Times New Roman"/>
            <w:sz w:val="20"/>
            <w:szCs w:val="20"/>
          </w:rPr>
          <w:t>Концепция исключительных прав</w:t>
        </w:r>
      </w:hyperlink>
      <w:r>
        <w:rPr>
          <w:rFonts w:ascii="Times New Roman" w:hAnsi="Times New Roman" w:cs="Times New Roman"/>
          <w:sz w:val="20"/>
          <w:szCs w:val="20"/>
        </w:rPr>
        <w:t xml:space="preserve"> и понятие интеллектуальной собственности в гражданском праве // Журнал российского права. - 2016. - № 6. - С. 54.</w:t>
      </w:r>
    </w:p>
  </w:footnote>
  <w:footnote w:id="330">
    <w:p w14:paraId="530DE811"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Соболь И.А. </w:t>
      </w:r>
      <w:hyperlink r:id="rId11" w:history="1">
        <w:r>
          <w:rPr>
            <w:rStyle w:val="a9"/>
            <w:rFonts w:ascii="Times New Roman" w:hAnsi="Times New Roman" w:cs="Times New Roman"/>
          </w:rPr>
          <w:t>К вопросу о понятии</w:t>
        </w:r>
      </w:hyperlink>
      <w:r>
        <w:rPr>
          <w:rFonts w:ascii="Times New Roman" w:hAnsi="Times New Roman" w:cs="Times New Roman"/>
        </w:rPr>
        <w:t xml:space="preserve"> свободной (открытой) лицензии в авторском праве России // Право и экономика. - 2014. - № 4. - С. 39.</w:t>
      </w:r>
    </w:p>
  </w:footnote>
  <w:footnote w:id="331">
    <w:p w14:paraId="578CC877"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0"/>
          <w:szCs w:val="20"/>
        </w:rPr>
      </w:pPr>
      <w:r>
        <w:rPr>
          <w:rStyle w:val="a7"/>
          <w:rFonts w:ascii="Times New Roman" w:hAnsi="Times New Roman" w:cs="Times New Roman"/>
          <w:sz w:val="20"/>
          <w:szCs w:val="20"/>
        </w:rPr>
        <w:footnoteRef/>
      </w:r>
      <w:r>
        <w:rPr>
          <w:rFonts w:ascii="Times New Roman" w:hAnsi="Times New Roman" w:cs="Times New Roman"/>
          <w:sz w:val="20"/>
          <w:szCs w:val="20"/>
        </w:rPr>
        <w:t xml:space="preserve"> Козловская А.Э. Правовые аспекты суррогатного материнства.-М.:2018.27-28 с.</w:t>
      </w:r>
    </w:p>
  </w:footnote>
  <w:footnote w:id="332">
    <w:p w14:paraId="4EF35379"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0"/>
          <w:szCs w:val="20"/>
          <w:lang w:eastAsia="ru-RU"/>
        </w:rPr>
      </w:pPr>
      <w:r>
        <w:rPr>
          <w:rStyle w:val="a7"/>
          <w:rFonts w:ascii="Times New Roman" w:hAnsi="Times New Roman" w:cs="Times New Roman"/>
          <w:sz w:val="20"/>
          <w:szCs w:val="20"/>
        </w:rPr>
        <w:footnoteRef/>
      </w:r>
      <w:r>
        <w:rPr>
          <w:rFonts w:ascii="Times New Roman" w:hAnsi="Times New Roman" w:cs="Times New Roman"/>
          <w:sz w:val="20"/>
          <w:szCs w:val="20"/>
        </w:rPr>
        <w:t xml:space="preserve"> </w:t>
      </w:r>
      <w:r>
        <w:rPr>
          <w:rFonts w:ascii="Times New Roman" w:hAnsi="Times New Roman" w:cs="Times New Roman"/>
          <w:sz w:val="20"/>
          <w:szCs w:val="20"/>
          <w:shd w:val="clear" w:color="auto" w:fill="FFFFFF"/>
        </w:rPr>
        <w:t>Анохина Т.А. Проблемы правового регулирования института суррогатного материнства. -Хабаровск.: 2018. 198-202 с.</w:t>
      </w:r>
    </w:p>
  </w:footnote>
  <w:footnote w:id="333">
    <w:p w14:paraId="67D6256B" w14:textId="77777777" w:rsidR="00FD5ABB" w:rsidRDefault="00FD5ABB" w:rsidP="001B6C3B">
      <w:pPr>
        <w:pStyle w:val="1"/>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240" w:lineRule="auto"/>
        <w:jc w:val="both"/>
        <w:rPr>
          <w:rFonts w:ascii="Times New Roman" w:hAnsi="Times New Roman" w:cs="Times New Roman"/>
          <w:color w:val="auto"/>
          <w:sz w:val="20"/>
          <w:szCs w:val="20"/>
        </w:rPr>
      </w:pPr>
      <w:r>
        <w:rPr>
          <w:rStyle w:val="a7"/>
          <w:rFonts w:ascii="Times New Roman" w:hAnsi="Times New Roman" w:cs="Times New Roman"/>
          <w:color w:val="auto"/>
          <w:sz w:val="20"/>
          <w:szCs w:val="20"/>
        </w:rPr>
        <w:footnoteRef/>
      </w:r>
      <w:r>
        <w:rPr>
          <w:rFonts w:ascii="Times New Roman" w:hAnsi="Times New Roman" w:cs="Times New Roman"/>
          <w:color w:val="auto"/>
          <w:sz w:val="20"/>
          <w:szCs w:val="20"/>
        </w:rPr>
        <w:t xml:space="preserve"> Семейный кодекс Российской Федерации: ФЗ от 29.12.1995 № 223 (ред. от 06.02.2020) // Российская газета </w:t>
      </w:r>
      <w:r>
        <w:rPr>
          <w:rFonts w:ascii="Times New Roman" w:hAnsi="Times New Roman" w:cs="Times New Roman"/>
          <w:color w:val="auto"/>
          <w:sz w:val="20"/>
          <w:szCs w:val="20"/>
          <w:shd w:val="clear" w:color="auto" w:fill="FFFFFF"/>
        </w:rPr>
        <w:t>29</w:t>
      </w:r>
      <w:r>
        <w:rPr>
          <w:rStyle w:val="nobr"/>
          <w:rFonts w:ascii="Times New Roman" w:hAnsi="Times New Roman" w:cs="Times New Roman"/>
          <w:b/>
          <w:color w:val="auto"/>
          <w:shd w:val="clear" w:color="auto" w:fill="FFFFFF"/>
        </w:rPr>
        <w:t> </w:t>
      </w:r>
      <w:r>
        <w:rPr>
          <w:rFonts w:ascii="Times New Roman" w:hAnsi="Times New Roman" w:cs="Times New Roman"/>
          <w:color w:val="auto"/>
          <w:sz w:val="20"/>
          <w:szCs w:val="20"/>
          <w:shd w:val="clear" w:color="auto" w:fill="FFFFFF"/>
        </w:rPr>
        <w:t>декабря</w:t>
      </w:r>
      <w:r>
        <w:rPr>
          <w:rStyle w:val="nobr"/>
          <w:rFonts w:ascii="Times New Roman" w:hAnsi="Times New Roman" w:cs="Times New Roman"/>
          <w:b/>
          <w:color w:val="auto"/>
          <w:shd w:val="clear" w:color="auto" w:fill="FFFFFF"/>
        </w:rPr>
        <w:t> </w:t>
      </w:r>
      <w:r>
        <w:rPr>
          <w:rFonts w:ascii="Times New Roman" w:hAnsi="Times New Roman" w:cs="Times New Roman"/>
          <w:color w:val="auto"/>
          <w:sz w:val="20"/>
          <w:szCs w:val="20"/>
          <w:shd w:val="clear" w:color="auto" w:fill="FFFFFF"/>
        </w:rPr>
        <w:t>1995</w:t>
      </w:r>
    </w:p>
  </w:footnote>
  <w:footnote w:id="334">
    <w:p w14:paraId="1D665942" w14:textId="77777777" w:rsidR="00FD5ABB" w:rsidRDefault="00FD5ABB" w:rsidP="001B6C3B">
      <w:pPr>
        <w:pStyle w:val="1"/>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240" w:lineRule="auto"/>
        <w:jc w:val="both"/>
        <w:rPr>
          <w:rFonts w:ascii="Times New Roman" w:hAnsi="Times New Roman" w:cs="Times New Roman"/>
          <w:b/>
          <w:color w:val="auto"/>
          <w:sz w:val="20"/>
          <w:szCs w:val="20"/>
        </w:rPr>
      </w:pPr>
      <w:r>
        <w:rPr>
          <w:rStyle w:val="a7"/>
          <w:rFonts w:ascii="Times New Roman" w:hAnsi="Times New Roman" w:cs="Times New Roman"/>
          <w:color w:val="auto"/>
          <w:sz w:val="20"/>
          <w:szCs w:val="20"/>
        </w:rPr>
        <w:footnoteRef/>
      </w:r>
      <w:r>
        <w:rPr>
          <w:rFonts w:ascii="Times New Roman" w:hAnsi="Times New Roman" w:cs="Times New Roman"/>
          <w:color w:val="auto"/>
          <w:sz w:val="20"/>
          <w:szCs w:val="20"/>
        </w:rPr>
        <w:t xml:space="preserve"> Об актах гражданского состояния: ФЗ от 15.11.1997 № 143 (последняя редакция) // Российская газета </w:t>
      </w:r>
      <w:r>
        <w:rPr>
          <w:rFonts w:ascii="Times New Roman" w:hAnsi="Times New Roman" w:cs="Times New Roman"/>
          <w:color w:val="auto"/>
          <w:sz w:val="20"/>
          <w:szCs w:val="20"/>
          <w:shd w:val="clear" w:color="auto" w:fill="FFFFFF"/>
        </w:rPr>
        <w:t>15</w:t>
      </w:r>
      <w:r>
        <w:rPr>
          <w:rStyle w:val="nobr"/>
          <w:rFonts w:ascii="Times New Roman" w:hAnsi="Times New Roman" w:cs="Times New Roman"/>
          <w:b/>
          <w:color w:val="auto"/>
          <w:shd w:val="clear" w:color="auto" w:fill="FFFFFF"/>
        </w:rPr>
        <w:t> </w:t>
      </w:r>
      <w:r>
        <w:rPr>
          <w:rFonts w:ascii="Times New Roman" w:hAnsi="Times New Roman" w:cs="Times New Roman"/>
          <w:color w:val="auto"/>
          <w:sz w:val="20"/>
          <w:szCs w:val="20"/>
          <w:shd w:val="clear" w:color="auto" w:fill="FFFFFF"/>
        </w:rPr>
        <w:t>ноября</w:t>
      </w:r>
      <w:r>
        <w:rPr>
          <w:rStyle w:val="nobr"/>
          <w:rFonts w:ascii="Times New Roman" w:hAnsi="Times New Roman" w:cs="Times New Roman"/>
          <w:b/>
          <w:color w:val="auto"/>
          <w:shd w:val="clear" w:color="auto" w:fill="FFFFFF"/>
        </w:rPr>
        <w:t> </w:t>
      </w:r>
      <w:r>
        <w:rPr>
          <w:rFonts w:ascii="Times New Roman" w:hAnsi="Times New Roman" w:cs="Times New Roman"/>
          <w:color w:val="auto"/>
          <w:sz w:val="20"/>
          <w:szCs w:val="20"/>
          <w:shd w:val="clear" w:color="auto" w:fill="FFFFFF"/>
        </w:rPr>
        <w:t>1997</w:t>
      </w:r>
    </w:p>
  </w:footnote>
  <w:footnote w:id="335">
    <w:p w14:paraId="7A7AF537"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0"/>
          <w:szCs w:val="20"/>
        </w:rPr>
      </w:pPr>
      <w:r>
        <w:rPr>
          <w:rStyle w:val="a7"/>
          <w:rFonts w:ascii="Times New Roman" w:hAnsi="Times New Roman" w:cs="Times New Roman"/>
          <w:sz w:val="20"/>
          <w:szCs w:val="20"/>
        </w:rPr>
        <w:footnoteRef/>
      </w:r>
      <w:r>
        <w:rPr>
          <w:rFonts w:ascii="Times New Roman" w:hAnsi="Times New Roman" w:cs="Times New Roman"/>
          <w:sz w:val="20"/>
          <w:szCs w:val="20"/>
        </w:rPr>
        <w:t xml:space="preserve"> Григорович Е.В. Некоторые аспекты правового регулирования искусственных методов репродукции. -М.: 2019. 29-30 </w:t>
      </w:r>
      <w:r>
        <w:rPr>
          <w:rFonts w:ascii="Times New Roman" w:hAnsi="Times New Roman" w:cs="Times New Roman"/>
          <w:sz w:val="20"/>
          <w:szCs w:val="20"/>
          <w:lang w:val="en-US"/>
        </w:rPr>
        <w:t>c</w:t>
      </w:r>
      <w:r>
        <w:rPr>
          <w:rFonts w:ascii="Times New Roman" w:hAnsi="Times New Roman" w:cs="Times New Roman"/>
          <w:sz w:val="20"/>
          <w:szCs w:val="20"/>
        </w:rPr>
        <w:t>.</w:t>
      </w:r>
    </w:p>
    <w:p w14:paraId="5A1E40AE"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p>
  </w:footnote>
  <w:footnote w:id="336">
    <w:p w14:paraId="55A43D3C"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0"/>
          <w:szCs w:val="20"/>
        </w:rPr>
      </w:pPr>
      <w:r>
        <w:rPr>
          <w:rStyle w:val="a7"/>
          <w:rFonts w:ascii="Times New Roman" w:hAnsi="Times New Roman" w:cs="Times New Roman"/>
          <w:sz w:val="20"/>
          <w:szCs w:val="20"/>
        </w:rPr>
        <w:footnoteRef/>
      </w:r>
      <w:r>
        <w:rPr>
          <w:rFonts w:ascii="Times New Roman" w:hAnsi="Times New Roman" w:cs="Times New Roman"/>
          <w:sz w:val="20"/>
          <w:szCs w:val="20"/>
        </w:rPr>
        <w:t xml:space="preserve"> Косова О.Ю. Семейный кодекс Российской Федерации и некоторые вопросы регулирования брачно-семейных отношений. -Правоведение.: 2019. 46-53 </w:t>
      </w:r>
      <w:r>
        <w:rPr>
          <w:rFonts w:ascii="Times New Roman" w:hAnsi="Times New Roman" w:cs="Times New Roman"/>
          <w:sz w:val="20"/>
          <w:szCs w:val="20"/>
          <w:lang w:val="en-US"/>
        </w:rPr>
        <w:t>c</w:t>
      </w:r>
      <w:r>
        <w:rPr>
          <w:rFonts w:ascii="Times New Roman" w:hAnsi="Times New Roman" w:cs="Times New Roman"/>
          <w:sz w:val="20"/>
          <w:szCs w:val="20"/>
        </w:rPr>
        <w:t>.</w:t>
      </w:r>
    </w:p>
  </w:footnote>
  <w:footnote w:id="337">
    <w:p w14:paraId="18CE0176"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0"/>
          <w:szCs w:val="20"/>
          <w:shd w:val="clear" w:color="auto" w:fill="FFFFFF"/>
        </w:rPr>
      </w:pPr>
      <w:r>
        <w:rPr>
          <w:rStyle w:val="a7"/>
          <w:rFonts w:ascii="Times New Roman" w:hAnsi="Times New Roman" w:cs="Times New Roman"/>
          <w:sz w:val="20"/>
          <w:szCs w:val="20"/>
        </w:rPr>
        <w:footnoteRef/>
      </w:r>
      <w:r>
        <w:rPr>
          <w:rFonts w:ascii="Times New Roman" w:hAnsi="Times New Roman" w:cs="Times New Roman"/>
          <w:sz w:val="20"/>
          <w:szCs w:val="20"/>
        </w:rPr>
        <w:t xml:space="preserve"> </w:t>
      </w:r>
      <w:r>
        <w:rPr>
          <w:rFonts w:ascii="Times New Roman" w:hAnsi="Times New Roman" w:cs="Times New Roman"/>
          <w:sz w:val="20"/>
          <w:szCs w:val="20"/>
          <w:shd w:val="clear" w:color="auto" w:fill="FFFFFF"/>
        </w:rPr>
        <w:t xml:space="preserve">Авхадеев И.В. Некоторые вопросы правового регулирования института суррогатного материнства. -М.: 2017. 151-158 </w:t>
      </w:r>
      <w:r>
        <w:rPr>
          <w:rFonts w:ascii="Times New Roman" w:hAnsi="Times New Roman" w:cs="Times New Roman"/>
          <w:sz w:val="20"/>
          <w:szCs w:val="20"/>
          <w:shd w:val="clear" w:color="auto" w:fill="FFFFFF"/>
          <w:lang w:val="en-US"/>
        </w:rPr>
        <w:t>c</w:t>
      </w:r>
      <w:r>
        <w:rPr>
          <w:rFonts w:ascii="Times New Roman" w:hAnsi="Times New Roman" w:cs="Times New Roman"/>
          <w:sz w:val="20"/>
          <w:szCs w:val="20"/>
          <w:shd w:val="clear" w:color="auto" w:fill="FFFFFF"/>
        </w:rPr>
        <w:t>.</w:t>
      </w:r>
    </w:p>
  </w:footnote>
  <w:footnote w:id="338">
    <w:p w14:paraId="321ADD77" w14:textId="77777777" w:rsidR="00FD5ABB" w:rsidRDefault="00FD5ABB" w:rsidP="001B6C3B">
      <w:pPr>
        <w:pStyle w:val="1"/>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240" w:lineRule="auto"/>
        <w:jc w:val="both"/>
        <w:rPr>
          <w:rFonts w:ascii="Times New Roman" w:hAnsi="Times New Roman" w:cs="Times New Roman"/>
          <w:b/>
          <w:color w:val="auto"/>
          <w:sz w:val="20"/>
          <w:szCs w:val="20"/>
        </w:rPr>
      </w:pPr>
      <w:r>
        <w:rPr>
          <w:rStyle w:val="a7"/>
          <w:rFonts w:ascii="Times New Roman" w:hAnsi="Times New Roman" w:cs="Times New Roman"/>
          <w:color w:val="auto"/>
          <w:sz w:val="20"/>
          <w:szCs w:val="20"/>
        </w:rPr>
        <w:footnoteRef/>
      </w:r>
      <w:r>
        <w:rPr>
          <w:rFonts w:ascii="Times New Roman" w:hAnsi="Times New Roman" w:cs="Times New Roman"/>
          <w:color w:val="auto"/>
          <w:sz w:val="20"/>
          <w:szCs w:val="20"/>
        </w:rPr>
        <w:t xml:space="preserve"> Конституция Российской Федерации (принята всенародным голосованием 12.12.1993) (с учетом поправок, внесенных Законами РФ о поправках к Конституции РФ от 30.12.2008 N 6-ФКЗ, от 30.12.2008 N 7-ФКЗ, от 05.02.2014 N 2-ФКЗ, от 21.07.2014 N 11-ФКЗ) // Российская газета 12.12.1993 г.</w:t>
      </w:r>
    </w:p>
  </w:footnote>
  <w:footnote w:id="339">
    <w:p w14:paraId="4BAEF0A7"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0"/>
          <w:szCs w:val="20"/>
        </w:rPr>
      </w:pPr>
      <w:r>
        <w:rPr>
          <w:rStyle w:val="a7"/>
          <w:rFonts w:ascii="Times New Roman" w:hAnsi="Times New Roman" w:cs="Times New Roman"/>
          <w:sz w:val="20"/>
          <w:szCs w:val="20"/>
        </w:rPr>
        <w:footnoteRef/>
      </w:r>
      <w:r>
        <w:rPr>
          <w:rFonts w:ascii="Times New Roman" w:hAnsi="Times New Roman" w:cs="Times New Roman"/>
          <w:sz w:val="20"/>
          <w:szCs w:val="20"/>
        </w:rPr>
        <w:t xml:space="preserve"> Савицкая А.А., Кудрявцева Л.В. Актуальные проблемы правового регулирования суррогатного материнства. В сборнике: Научное обеспечение агропромышленного комплекса Сборник статей по материалам 74-й научно-практической конференции студентов по итогам НИР 2018 год. Ответственный за выпуск Кощаев А.Г.  2019. С. 1394-1398.</w:t>
      </w:r>
    </w:p>
    <w:p w14:paraId="11530904"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p>
  </w:footnote>
  <w:footnote w:id="340">
    <w:p w14:paraId="398DA9D5"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Баулина А.А. Экономическая привлекательность участия бизнеса в экологическом саморегулировании, Научные исследования экономического факультета. Электронный журнал, Т. 2, № 2, 2010. С. 72.</w:t>
      </w:r>
    </w:p>
  </w:footnote>
  <w:footnote w:id="341">
    <w:p w14:paraId="0AB91FE2"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0"/>
          <w:szCs w:val="20"/>
        </w:rPr>
      </w:pPr>
      <w:r>
        <w:rPr>
          <w:rStyle w:val="a7"/>
          <w:rFonts w:ascii="Times New Roman" w:hAnsi="Times New Roman" w:cs="Times New Roman"/>
          <w:sz w:val="20"/>
          <w:szCs w:val="20"/>
        </w:rPr>
        <w:footnoteRef/>
      </w:r>
      <w:r>
        <w:rPr>
          <w:rFonts w:ascii="Times New Roman" w:hAnsi="Times New Roman" w:cs="Times New Roman"/>
          <w:sz w:val="20"/>
          <w:szCs w:val="20"/>
        </w:rPr>
        <w:t xml:space="preserve"> Орлова И.Г. Экологический аудит: саморегулирование, лицензирование или аккредитация?, Экологический вестник России, № 8, 2014. С. 32.</w:t>
      </w:r>
    </w:p>
    <w:p w14:paraId="7B08C9DC"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p>
  </w:footnote>
  <w:footnote w:id="342">
    <w:p w14:paraId="1B34F5EF"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Цгоев Т.Ф., Теблоев Р.А Многофакторность и проблема саморегулирования в системе "природа и общество", Труды СКГМИ (ГТУ), № 18, 2011.С. 228.</w:t>
      </w:r>
    </w:p>
  </w:footnote>
  <w:footnote w:id="343">
    <w:p w14:paraId="59CB92C9"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Слесарев М.Ю., Чернышев А.В. Концепции самоорганизации и саморегулирования в практике технического регулирования, Промышленное и гражданское строительство, № 4, 2011. С. 47.</w:t>
      </w:r>
    </w:p>
  </w:footnote>
  <w:footnote w:id="344">
    <w:p w14:paraId="71CB155D"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i/>
        </w:rPr>
        <w:t>Трубников П. Я.</w:t>
      </w:r>
      <w:r>
        <w:rPr>
          <w:rFonts w:ascii="Times New Roman" w:hAnsi="Times New Roman" w:cs="Times New Roman"/>
        </w:rPr>
        <w:t xml:space="preserve">  Условия эффективности судебного решения // Советское государство и право. – 1976. – № 2. – С. 51–59.</w:t>
      </w:r>
    </w:p>
  </w:footnote>
  <w:footnote w:id="345">
    <w:p w14:paraId="16FF83A7"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О судебном решении: Постановление Пленума Верховного Суда СССР от 09.07.1982 № 7 // «Сборник постановлений Пленумов Верховных Судов СССР и РСФСР по гражданским делам», Москва, 1994.</w:t>
      </w:r>
    </w:p>
  </w:footnote>
  <w:footnote w:id="346">
    <w:p w14:paraId="636A62AD"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i/>
        </w:rPr>
        <w:t>Николайченко О. В.</w:t>
      </w:r>
      <w:r>
        <w:rPr>
          <w:rFonts w:ascii="Times New Roman" w:hAnsi="Times New Roman" w:cs="Times New Roman"/>
        </w:rPr>
        <w:t xml:space="preserve"> О значении мотивировочной части судебного решения // Вопросы современной юриспруденции: сб. ст. по матер. IX междунар. науч.-практ. конф. – Новосибирск: СибАК.  – 2012. – С. 30–35.</w:t>
      </w:r>
    </w:p>
  </w:footnote>
  <w:footnote w:id="347">
    <w:p w14:paraId="03586BDB"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Гражданский процессуальный кодекс Российской Федерации: федеральный закон от 14.11.2002 № 138 – ФЗ: в ред. от 23.07.2018 // Собрание Законодательства РФ. – 2002. - № 46. – Ст. 4532.</w:t>
      </w:r>
    </w:p>
  </w:footnote>
  <w:footnote w:id="348">
    <w:p w14:paraId="722E5E56"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0"/>
          <w:szCs w:val="20"/>
        </w:rPr>
      </w:pPr>
      <w:r>
        <w:rPr>
          <w:rStyle w:val="a7"/>
          <w:rFonts w:ascii="Times New Roman" w:hAnsi="Times New Roman" w:cs="Times New Roman"/>
          <w:sz w:val="20"/>
          <w:szCs w:val="20"/>
        </w:rPr>
        <w:footnoteRef/>
      </w:r>
      <w:r>
        <w:rPr>
          <w:rFonts w:ascii="Times New Roman" w:hAnsi="Times New Roman" w:cs="Times New Roman"/>
          <w:sz w:val="20"/>
          <w:szCs w:val="20"/>
        </w:rPr>
        <w:t xml:space="preserve"> </w:t>
      </w:r>
      <w:r>
        <w:rPr>
          <w:rFonts w:ascii="Times New Roman" w:hAnsi="Times New Roman" w:cs="Times New Roman"/>
          <w:i/>
          <w:sz w:val="20"/>
          <w:szCs w:val="20"/>
        </w:rPr>
        <w:t>Султанов А. Р.</w:t>
      </w:r>
      <w:r>
        <w:rPr>
          <w:rFonts w:ascii="Times New Roman" w:hAnsi="Times New Roman" w:cs="Times New Roman"/>
          <w:sz w:val="20"/>
          <w:szCs w:val="20"/>
        </w:rPr>
        <w:t xml:space="preserve"> </w:t>
      </w:r>
      <w:r>
        <w:rPr>
          <w:rFonts w:ascii="Times New Roman" w:hAnsi="Times New Roman" w:cs="Times New Roman"/>
          <w:sz w:val="20"/>
          <w:szCs w:val="20"/>
          <w:shd w:val="clear" w:color="auto" w:fill="FFFFFF"/>
        </w:rPr>
        <w:t>Мотивированность судебного акта как одна из основных проблем справедливого правосудия</w:t>
      </w:r>
      <w:r>
        <w:rPr>
          <w:rFonts w:ascii="Times New Roman" w:hAnsi="Times New Roman" w:cs="Times New Roman"/>
          <w:sz w:val="20"/>
          <w:szCs w:val="20"/>
        </w:rPr>
        <w:t xml:space="preserve"> // Закон. – 2014. – № 8. – С. 114–118. </w:t>
      </w:r>
    </w:p>
    <w:p w14:paraId="77E608C4"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p>
  </w:footnote>
  <w:footnote w:id="349">
    <w:p w14:paraId="4EEB4D66"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О внесении изменений в отдельные законодательные акты Российской Федерации: федеральный закон от 04.03.2013 г. № 20-ФЗ: в ред. от // Собрание законодательства Российской Федерации. – 2013. – № 9. – Ст. 872.</w:t>
      </w:r>
    </w:p>
  </w:footnote>
  <w:footnote w:id="350">
    <w:p w14:paraId="3405282F"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i/>
        </w:rPr>
        <w:t>Алёхина С. А.</w:t>
      </w:r>
      <w:r>
        <w:rPr>
          <w:rFonts w:ascii="Times New Roman" w:hAnsi="Times New Roman" w:cs="Times New Roman"/>
        </w:rPr>
        <w:t xml:space="preserve"> О немотивированном решении в гражданском судопроизводстве. //  Законы России: опыт, анализ, практика. – 2016. – № 4. – С. 86–90.</w:t>
      </w:r>
    </w:p>
  </w:footnote>
  <w:footnote w:id="351">
    <w:p w14:paraId="44E35CA7"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lang w:val="en-US"/>
        </w:rPr>
      </w:pPr>
      <w:r>
        <w:rPr>
          <w:rStyle w:val="a7"/>
          <w:rFonts w:ascii="Times New Roman" w:hAnsi="Times New Roman" w:cs="Times New Roman"/>
        </w:rPr>
        <w:footnoteRef/>
      </w:r>
      <w:r>
        <w:rPr>
          <w:rFonts w:ascii="Times New Roman" w:hAnsi="Times New Roman" w:cs="Times New Roman"/>
        </w:rPr>
        <w:t xml:space="preserve"> Антокольская М. В. Семейное право: Учебник. 2-е изд., перераб. и доп. М</w:t>
      </w:r>
      <w:r>
        <w:rPr>
          <w:rFonts w:ascii="Times New Roman" w:hAnsi="Times New Roman" w:cs="Times New Roman"/>
          <w:lang w:val="en-US"/>
        </w:rPr>
        <w:t xml:space="preserve">.: </w:t>
      </w:r>
      <w:r>
        <w:rPr>
          <w:rFonts w:ascii="Times New Roman" w:hAnsi="Times New Roman" w:cs="Times New Roman"/>
        </w:rPr>
        <w:t>Юристъ</w:t>
      </w:r>
      <w:r>
        <w:rPr>
          <w:rFonts w:ascii="Times New Roman" w:hAnsi="Times New Roman" w:cs="Times New Roman"/>
          <w:lang w:val="en-US"/>
        </w:rPr>
        <w:t xml:space="preserve">, 2000. – </w:t>
      </w:r>
      <w:r>
        <w:rPr>
          <w:rFonts w:ascii="Times New Roman" w:hAnsi="Times New Roman" w:cs="Times New Roman"/>
        </w:rPr>
        <w:t>С</w:t>
      </w:r>
      <w:r>
        <w:rPr>
          <w:rFonts w:ascii="Times New Roman" w:hAnsi="Times New Roman" w:cs="Times New Roman"/>
          <w:lang w:val="en-US"/>
        </w:rPr>
        <w:t>. 214</w:t>
      </w:r>
    </w:p>
  </w:footnote>
  <w:footnote w:id="352">
    <w:p w14:paraId="61665ABE"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lang w:val="en-US"/>
        </w:rPr>
        <w:t xml:space="preserve"> Kudryavtseva L., Kolesnikova V., Miroshnichenko O. Alimony obligations of parents and children in international private law // </w:t>
      </w:r>
      <w:r>
        <w:rPr>
          <w:rFonts w:ascii="Times New Roman" w:hAnsi="Times New Roman" w:cs="Times New Roman"/>
        </w:rPr>
        <w:t>Актуальные</w:t>
      </w:r>
      <w:r>
        <w:rPr>
          <w:rFonts w:ascii="Times New Roman" w:hAnsi="Times New Roman" w:cs="Times New Roman"/>
          <w:lang w:val="en-US"/>
        </w:rPr>
        <w:t xml:space="preserve"> </w:t>
      </w:r>
      <w:r>
        <w:rPr>
          <w:rFonts w:ascii="Times New Roman" w:hAnsi="Times New Roman" w:cs="Times New Roman"/>
        </w:rPr>
        <w:t>проблемы</w:t>
      </w:r>
      <w:r>
        <w:rPr>
          <w:rFonts w:ascii="Times New Roman" w:hAnsi="Times New Roman" w:cs="Times New Roman"/>
          <w:lang w:val="en-US"/>
        </w:rPr>
        <w:t xml:space="preserve"> </w:t>
      </w:r>
      <w:r>
        <w:rPr>
          <w:rFonts w:ascii="Times New Roman" w:hAnsi="Times New Roman" w:cs="Times New Roman"/>
        </w:rPr>
        <w:t>современности</w:t>
      </w:r>
      <w:r>
        <w:rPr>
          <w:rFonts w:ascii="Times New Roman" w:hAnsi="Times New Roman" w:cs="Times New Roman"/>
          <w:lang w:val="en-US"/>
        </w:rPr>
        <w:t xml:space="preserve">. </w:t>
      </w:r>
      <w:r>
        <w:rPr>
          <w:rFonts w:ascii="Times New Roman" w:hAnsi="Times New Roman" w:cs="Times New Roman"/>
        </w:rPr>
        <w:t>2017. №4 (18).</w:t>
      </w:r>
    </w:p>
  </w:footnote>
  <w:footnote w:id="353">
    <w:p w14:paraId="2EB41054"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Решение Кировского районного суда Новосибирска от 27.09.2019 по делу № 2-2586/2019 // Сайт Кировского районного суда Новосибирска. Режим доступа: http://kirovsky.nsk.sudrf.ru/</w:t>
      </w:r>
    </w:p>
  </w:footnote>
  <w:footnote w:id="354">
    <w:p w14:paraId="4CE3302B"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Решение Рузского районного суда Московской области от 26.09.2019 по делу № 2-1800/2019 // Сайт Рузского районного суда Московской области. Режим доступа: http://ruza.mo.sudrf.ru/</w:t>
      </w:r>
    </w:p>
  </w:footnote>
  <w:footnote w:id="355">
    <w:p w14:paraId="42BBD0AA"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Постановление Пленума Верховного Суда РФ от 05.11.98 N 15 «О применении судами законодательства при рассмотрении дел о расторжении брака» // https://www.garant.ru</w:t>
      </w:r>
    </w:p>
  </w:footnote>
  <w:footnote w:id="356">
    <w:p w14:paraId="3A40EAF1"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Решение Новошешминского районного суда республики Татарстан от 26.09.2019 по делу  № 2-165/2019 // Сайт Новошешминского районного суда республики Татарстан. Режим доступа: http://novosheshminsky.tat.sudrf.ru/</w:t>
      </w:r>
    </w:p>
  </w:footnote>
  <w:footnote w:id="357">
    <w:p w14:paraId="17A60438"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Гражданский кодекс Российской Федерации (часть первая) от 30.11.1994 № 51-ФЗ (ред. от 1.01.2020).</w:t>
      </w:r>
    </w:p>
  </w:footnote>
  <w:footnote w:id="358">
    <w:p w14:paraId="56FC90C4"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Решение Шумихинский районный суд Курганской области № 2-13/2017 2-13/2017(2-744/2016;)~М-627/2016 2-744/2016 М-627/2016 от 12 апреля 2017 г. по делу № 2-13/2017 Доступ из справ.-правовой системы «Судебные и нормативные акты РФ»</w:t>
      </w:r>
    </w:p>
  </w:footnote>
  <w:footnote w:id="359">
    <w:p w14:paraId="324A806D"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Постановление Пленума Верховного Суда РФ от 06.02.2007 N 6 (ред. от 26.12.2017) "Об изменении и дополнении некоторых Постановлений Пленума Верховного Суда Российской Федерации по гражданским делам" Доступ из справ.-правовой системы «КонсультантПлюс».</w:t>
      </w:r>
    </w:p>
  </w:footnote>
  <w:footnote w:id="360">
    <w:p w14:paraId="6F2DAB8A"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Гражданский кодекс Российской Федерации (часть первая) от 30.11.1994 № 51-ФЗ (ред. от 1.01.2020).</w:t>
      </w:r>
    </w:p>
  </w:footnote>
  <w:footnote w:id="361">
    <w:p w14:paraId="461AB416"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"Жилищный кодекс Российской Федерации" от 29.12.2004 N 188-ФЗ (ред. от 06.02.2020)</w:t>
      </w:r>
    </w:p>
  </w:footnote>
  <w:footnote w:id="362">
    <w:p w14:paraId="097B79A6"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Определение Судебной коллегии по гражданским делам Верховного Суда РФ от 18.07.2017 N 5-КГ17-109.  Доступ из справ.-правовой системы «КонсультантПлюс».</w:t>
      </w:r>
    </w:p>
  </w:footnote>
  <w:footnote w:id="363">
    <w:p w14:paraId="180ED0E4"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0"/>
          <w:szCs w:val="20"/>
        </w:rPr>
      </w:pPr>
      <w:r>
        <w:rPr>
          <w:rStyle w:val="a7"/>
          <w:rFonts w:ascii="Times New Roman" w:hAnsi="Times New Roman" w:cs="Times New Roman"/>
          <w:sz w:val="20"/>
          <w:szCs w:val="20"/>
        </w:rPr>
        <w:footnoteRef/>
      </w:r>
      <w:r>
        <w:rPr>
          <w:rFonts w:ascii="Times New Roman" w:hAnsi="Times New Roman" w:cs="Times New Roman"/>
          <w:sz w:val="20"/>
          <w:szCs w:val="20"/>
        </w:rPr>
        <w:t xml:space="preserve"> </w:t>
      </w:r>
      <w:r>
        <w:rPr>
          <w:rFonts w:ascii="Times New Roman" w:hAnsi="Times New Roman" w:cs="Times New Roman"/>
          <w:i/>
          <w:sz w:val="20"/>
          <w:szCs w:val="20"/>
        </w:rPr>
        <w:t>Камышанский В.П., Ветер Н.Ю.</w:t>
      </w:r>
      <w:r>
        <w:rPr>
          <w:rFonts w:ascii="Times New Roman" w:hAnsi="Times New Roman" w:cs="Times New Roman"/>
          <w:sz w:val="20"/>
          <w:szCs w:val="20"/>
        </w:rPr>
        <w:t xml:space="preserve"> Злоупотребление правом: понятие, признаки, общая характеристика. – Научный журнал КубГАУ, №112(08), 2015. – 20 с.</w:t>
      </w:r>
    </w:p>
    <w:p w14:paraId="0B708769"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0"/>
          <w:szCs w:val="20"/>
        </w:rPr>
      </w:pPr>
    </w:p>
  </w:footnote>
  <w:footnote w:id="364">
    <w:p w14:paraId="77076CAE"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i/>
        </w:rPr>
        <w:t>Масленникова Л. В.</w:t>
      </w:r>
      <w:r>
        <w:rPr>
          <w:rFonts w:ascii="Times New Roman" w:hAnsi="Times New Roman" w:cs="Times New Roman"/>
        </w:rPr>
        <w:t xml:space="preserve"> Жилищное право Российской Федерации: учебное пособие. – Краснодар: КубГАУ, 2016. – 34 с.</w:t>
      </w:r>
    </w:p>
  </w:footnote>
  <w:footnote w:id="365">
    <w:p w14:paraId="72E14F7C"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i/>
        </w:rPr>
        <w:t>Бевзенко Р.С.</w:t>
      </w:r>
      <w:r>
        <w:rPr>
          <w:rFonts w:ascii="Times New Roman" w:hAnsi="Times New Roman" w:cs="Times New Roman"/>
        </w:rPr>
        <w:t xml:space="preserve"> Принципиальные положения статьи 8.1 Гражданского кодекса РФ о государственной регистрации прав на имущество - Журнал «Закон», № 4, 2015. – 37 с.</w:t>
      </w:r>
    </w:p>
  </w:footnote>
  <w:footnote w:id="366">
    <w:p w14:paraId="48B3470D"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Гражданский кодекс Российской Федерации (часть вторая) от 26.01.1996 г. №14-ФЗ // СЗ РФ. 1996. №5. Ст. 410</w:t>
      </w:r>
    </w:p>
  </w:footnote>
  <w:footnote w:id="367">
    <w:p w14:paraId="20B99311"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lang w:val="en-US"/>
        </w:rPr>
      </w:pPr>
      <w:r>
        <w:rPr>
          <w:rStyle w:val="a7"/>
          <w:rFonts w:ascii="Times New Roman" w:hAnsi="Times New Roman" w:cs="Times New Roman"/>
        </w:rPr>
        <w:footnoteRef/>
      </w:r>
      <w:r>
        <w:rPr>
          <w:rFonts w:ascii="Times New Roman" w:hAnsi="Times New Roman" w:cs="Times New Roman"/>
        </w:rPr>
        <w:t xml:space="preserve"> Анарбаев Ж.А. Институт франшизы в гражданском праве: современные проблемы и зарубежный опыт // НАУКА ЧЕРЕЗ ПРИЗМУ ВРЕМЕНИ.- </w:t>
      </w:r>
      <w:r>
        <w:rPr>
          <w:rFonts w:ascii="Times New Roman" w:hAnsi="Times New Roman" w:cs="Times New Roman"/>
          <w:lang w:val="en-US"/>
        </w:rPr>
        <w:t xml:space="preserve">2017.-№4.- </w:t>
      </w:r>
      <w:r>
        <w:rPr>
          <w:rFonts w:ascii="Times New Roman" w:hAnsi="Times New Roman" w:cs="Times New Roman"/>
        </w:rPr>
        <w:t>С</w:t>
      </w:r>
      <w:r>
        <w:rPr>
          <w:rFonts w:ascii="Times New Roman" w:hAnsi="Times New Roman" w:cs="Times New Roman"/>
          <w:lang w:val="en-US"/>
        </w:rPr>
        <w:t>.63-65</w:t>
      </w:r>
    </w:p>
  </w:footnote>
  <w:footnote w:id="368">
    <w:p w14:paraId="0A4BC8BF"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lang w:val="en-US"/>
        </w:rPr>
        <w:t xml:space="preserve"> </w:t>
      </w:r>
      <w:r>
        <w:rPr>
          <w:rFonts w:ascii="Times New Roman" w:hAnsi="Times New Roman" w:cs="Times New Roman"/>
        </w:rPr>
        <w:t>Регламент</w:t>
      </w:r>
      <w:r>
        <w:rPr>
          <w:rFonts w:ascii="Times New Roman" w:hAnsi="Times New Roman" w:cs="Times New Roman"/>
          <w:lang w:val="en-US"/>
        </w:rPr>
        <w:t xml:space="preserve"> </w:t>
      </w:r>
      <w:r>
        <w:rPr>
          <w:rFonts w:ascii="Times New Roman" w:hAnsi="Times New Roman" w:cs="Times New Roman"/>
        </w:rPr>
        <w:t>Комиссии</w:t>
      </w:r>
      <w:r>
        <w:rPr>
          <w:rFonts w:ascii="Times New Roman" w:hAnsi="Times New Roman" w:cs="Times New Roman"/>
          <w:lang w:val="en-US"/>
        </w:rPr>
        <w:t xml:space="preserve"> </w:t>
      </w:r>
      <w:r>
        <w:rPr>
          <w:rFonts w:ascii="Times New Roman" w:hAnsi="Times New Roman" w:cs="Times New Roman"/>
        </w:rPr>
        <w:t>ЕС</w:t>
      </w:r>
      <w:r>
        <w:rPr>
          <w:rFonts w:ascii="Times New Roman" w:hAnsi="Times New Roman" w:cs="Times New Roman"/>
          <w:lang w:val="en-US"/>
        </w:rPr>
        <w:t xml:space="preserve"> № 4087/88 </w:t>
      </w:r>
      <w:r>
        <w:rPr>
          <w:rFonts w:ascii="Times New Roman" w:hAnsi="Times New Roman" w:cs="Times New Roman"/>
        </w:rPr>
        <w:t>от</w:t>
      </w:r>
      <w:r>
        <w:rPr>
          <w:rFonts w:ascii="Times New Roman" w:hAnsi="Times New Roman" w:cs="Times New Roman"/>
          <w:lang w:val="en-US"/>
        </w:rPr>
        <w:t xml:space="preserve"> 30 </w:t>
      </w:r>
      <w:r>
        <w:rPr>
          <w:rFonts w:ascii="Times New Roman" w:hAnsi="Times New Roman" w:cs="Times New Roman"/>
        </w:rPr>
        <w:t>ноября</w:t>
      </w:r>
      <w:r>
        <w:rPr>
          <w:rFonts w:ascii="Times New Roman" w:hAnsi="Times New Roman" w:cs="Times New Roman"/>
          <w:lang w:val="en-US"/>
        </w:rPr>
        <w:t xml:space="preserve"> 1988 </w:t>
      </w:r>
      <w:r>
        <w:rPr>
          <w:rFonts w:ascii="Times New Roman" w:hAnsi="Times New Roman" w:cs="Times New Roman"/>
        </w:rPr>
        <w:t>г</w:t>
      </w:r>
      <w:r>
        <w:rPr>
          <w:rFonts w:ascii="Times New Roman" w:hAnsi="Times New Roman" w:cs="Times New Roman"/>
          <w:lang w:val="en-US"/>
        </w:rPr>
        <w:t>. // European Community Law after 1992. A practical guide for lawyers outside the Common Market. Kluwer</w:t>
      </w:r>
      <w:r>
        <w:rPr>
          <w:rFonts w:ascii="Times New Roman" w:hAnsi="Times New Roman" w:cs="Times New Roman"/>
        </w:rPr>
        <w:t xml:space="preserve">. </w:t>
      </w:r>
      <w:r>
        <w:rPr>
          <w:rFonts w:ascii="Times New Roman" w:hAnsi="Times New Roman" w:cs="Times New Roman"/>
          <w:lang w:val="en-US"/>
        </w:rPr>
        <w:t>Deventer</w:t>
      </w:r>
      <w:r>
        <w:rPr>
          <w:rFonts w:ascii="Times New Roman" w:hAnsi="Times New Roman" w:cs="Times New Roman"/>
        </w:rPr>
        <w:t>, 1993</w:t>
      </w:r>
    </w:p>
  </w:footnote>
  <w:footnote w:id="369">
    <w:p w14:paraId="18610B80"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bCs/>
        </w:rPr>
        <w:t>Конвенция по охране промышленной собственности (Париж, 20 марта 1883 г.) (с изменениями и дополнениями)</w:t>
      </w:r>
      <w:r>
        <w:rPr>
          <w:rFonts w:ascii="Times New Roman" w:hAnsi="Times New Roman" w:cs="Times New Roman"/>
          <w:b/>
          <w:bCs/>
        </w:rPr>
        <w:t xml:space="preserve"> </w:t>
      </w:r>
      <w:r>
        <w:rPr>
          <w:rFonts w:ascii="Times New Roman" w:hAnsi="Times New Roman" w:cs="Times New Roman"/>
          <w:bCs/>
          <w:lang w:val="en-US"/>
        </w:rPr>
        <w:t>URL</w:t>
      </w:r>
      <w:r>
        <w:rPr>
          <w:rFonts w:ascii="Times New Roman" w:hAnsi="Times New Roman" w:cs="Times New Roman"/>
          <w:bCs/>
        </w:rPr>
        <w:t xml:space="preserve">: </w:t>
      </w:r>
      <w:hyperlink r:id="rId12" w:history="1">
        <w:r>
          <w:rPr>
            <w:rStyle w:val="a9"/>
          </w:rPr>
          <w:t>http://base.garant.ru/10106592/</w:t>
        </w:r>
      </w:hyperlink>
    </w:p>
  </w:footnote>
  <w:footnote w:id="370">
    <w:p w14:paraId="5E02E53F"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Pr>
          <w:rStyle w:val="a7"/>
          <w:rFonts w:ascii="Times New Roman" w:hAnsi="Times New Roman" w:cs="Times New Roman"/>
        </w:rPr>
        <w:footnoteRef/>
      </w:r>
      <w:r>
        <w:rPr>
          <w:rFonts w:ascii="Times New Roman" w:hAnsi="Times New Roman" w:cs="Times New Roman"/>
        </w:rPr>
        <w:t xml:space="preserve"> Вострикова К. В., Слатвицкая И. И. Франчайзинг в России: проблемы и перспективы развития // Материалы VIII Международной студенческой электронной научной конференции «Студенческий научный форум». — 2016. — 6 с. — URL: http://www.scienceforum.ru/2016/1592/18266</w:t>
      </w:r>
    </w:p>
  </w:footnote>
  <w:footnote w:id="371">
    <w:p w14:paraId="3021811F" w14:textId="77777777" w:rsidR="00FD5ABB" w:rsidRDefault="00FD5AB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
        <w:rPr>
          <w:rStyle w:val="a7"/>
          <w:rFonts w:ascii="Times New Roman" w:hAnsi="Times New Roman"/>
          <w:sz w:val="20"/>
          <w:szCs w:val="20"/>
        </w:rPr>
        <w:footnoteRef/>
      </w:r>
      <w:r>
        <w:rPr>
          <w:rFonts w:ascii="Times New Roman" w:hAnsi="Times New Roman"/>
          <w:sz w:val="20"/>
          <w:szCs w:val="20"/>
        </w:rPr>
        <w:t xml:space="preserve"> Гражданский кодекс Российской Федерации (часть первая) : федерал. закон от 30.11.1994 № 51-ФЗ в ред. от 16.12.2019 // СЗ РФ. – 1994. – № 32. – Ст. 3301.</w:t>
      </w:r>
    </w:p>
  </w:footnote>
  <w:footnote w:id="372">
    <w:p w14:paraId="106356EF" w14:textId="77777777" w:rsidR="00FD5ABB" w:rsidRDefault="00FD5AB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
        <w:rPr>
          <w:rStyle w:val="a7"/>
          <w:rFonts w:ascii="Times New Roman" w:hAnsi="Times New Roman"/>
          <w:sz w:val="20"/>
          <w:szCs w:val="20"/>
        </w:rPr>
        <w:footnoteRef/>
      </w:r>
      <w:r>
        <w:rPr>
          <w:rFonts w:ascii="Times New Roman" w:hAnsi="Times New Roman"/>
          <w:sz w:val="20"/>
          <w:szCs w:val="20"/>
        </w:rPr>
        <w:t xml:space="preserve"> </w:t>
      </w:r>
      <w:r>
        <w:rPr>
          <w:rFonts w:ascii="Times New Roman" w:hAnsi="Times New Roman"/>
          <w:sz w:val="20"/>
          <w:szCs w:val="20"/>
          <w:shd w:val="clear" w:color="auto" w:fill="FFFFFF"/>
        </w:rPr>
        <w:t>Анищенко А.В. Моральный вред // Налоговый вестник - Консультации. Разъяснения. Мнения. – 2019. – № 12. – С. 49 - 53.</w:t>
      </w:r>
    </w:p>
  </w:footnote>
  <w:footnote w:id="373">
    <w:p w14:paraId="4E0ACC0A" w14:textId="77777777" w:rsidR="00FD5ABB" w:rsidRDefault="00FD5AB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
        <w:rPr>
          <w:rStyle w:val="a7"/>
          <w:rFonts w:ascii="Times New Roman" w:hAnsi="Times New Roman"/>
          <w:sz w:val="20"/>
          <w:szCs w:val="20"/>
        </w:rPr>
        <w:footnoteRef/>
      </w:r>
      <w:r>
        <w:rPr>
          <w:rFonts w:ascii="Times New Roman" w:hAnsi="Times New Roman"/>
          <w:sz w:val="20"/>
          <w:szCs w:val="20"/>
        </w:rPr>
        <w:t xml:space="preserve"> Гражданский кодекс Российской Федерации (часть вторая) : федерал. закон от 26.01.1996 № 14-ФЗ : в ред. от 18.03.2019 // СЗ РФ. – 1996. – № 5. – Ст. 410.</w:t>
      </w:r>
    </w:p>
  </w:footnote>
  <w:footnote w:id="374">
    <w:p w14:paraId="0F4284D6" w14:textId="77777777" w:rsidR="00FD5ABB" w:rsidRDefault="00FD5AB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
        <w:rPr>
          <w:rStyle w:val="a7"/>
          <w:rFonts w:ascii="Times New Roman" w:hAnsi="Times New Roman"/>
          <w:sz w:val="20"/>
          <w:szCs w:val="20"/>
        </w:rPr>
        <w:footnoteRef/>
      </w:r>
      <w:r>
        <w:rPr>
          <w:rFonts w:ascii="Times New Roman" w:hAnsi="Times New Roman"/>
          <w:sz w:val="20"/>
          <w:szCs w:val="20"/>
        </w:rPr>
        <w:t xml:space="preserve"> Некоторые вопросы применения законодательства о компенсации морального вреда : постановление Пленума Верховного Суда РФ от 20.12.1994 № 10 : в ред. от 06.02.2007 // Российская газета. – 08.02.1995. – № 29.</w:t>
      </w:r>
    </w:p>
  </w:footnote>
  <w:footnote w:id="375">
    <w:p w14:paraId="05EEBA1F" w14:textId="77777777" w:rsidR="00FD5ABB" w:rsidRDefault="00FD5AB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
        <w:rPr>
          <w:rStyle w:val="a7"/>
          <w:rFonts w:ascii="Times New Roman" w:hAnsi="Times New Roman"/>
          <w:sz w:val="20"/>
          <w:szCs w:val="20"/>
        </w:rPr>
        <w:footnoteRef/>
      </w:r>
      <w:r>
        <w:rPr>
          <w:rFonts w:ascii="Times New Roman" w:hAnsi="Times New Roman"/>
          <w:sz w:val="20"/>
          <w:szCs w:val="20"/>
        </w:rPr>
        <w:t xml:space="preserve"> Апелляционное </w:t>
      </w:r>
      <w:hyperlink r:id="rId13" w:tooltip="Апелляционное определение Алтайского краевого суда от 09.10.2013 по делу N 33-5345/2013 Размер компенсации зависит от характера и объема причиненных истцу нравственных или физических страданий, степени вины ответчика в каждом конкретном случае, иных заслу" w:history="1">
        <w:r>
          <w:rPr>
            <w:rStyle w:val="a9"/>
            <w:rFonts w:ascii="Times New Roman" w:hAnsi="Times New Roman"/>
            <w:sz w:val="20"/>
            <w:szCs w:val="20"/>
          </w:rPr>
          <w:t>определение</w:t>
        </w:r>
      </w:hyperlink>
      <w:r>
        <w:rPr>
          <w:rFonts w:ascii="Times New Roman" w:hAnsi="Times New Roman"/>
          <w:sz w:val="20"/>
          <w:szCs w:val="20"/>
        </w:rPr>
        <w:t xml:space="preserve"> Алтайского краевого суда от 09.10.2013 по делу № 33-5345/2013 // СПС «КонсультантПлюс».</w:t>
      </w:r>
    </w:p>
  </w:footnote>
  <w:footnote w:id="376">
    <w:p w14:paraId="3266E977" w14:textId="77777777" w:rsidR="00FD5ABB" w:rsidRDefault="00FD5AB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
        <w:rPr>
          <w:rStyle w:val="a7"/>
          <w:rFonts w:ascii="Times New Roman" w:hAnsi="Times New Roman"/>
          <w:sz w:val="20"/>
          <w:szCs w:val="20"/>
        </w:rPr>
        <w:footnoteRef/>
      </w:r>
      <w:r>
        <w:rPr>
          <w:rFonts w:ascii="Times New Roman" w:hAnsi="Times New Roman"/>
          <w:sz w:val="20"/>
          <w:szCs w:val="20"/>
        </w:rPr>
        <w:t xml:space="preserve"> </w:t>
      </w:r>
      <w:hyperlink r:id="rId14" w:tooltip="Определение Судебной коллегии по гражданским делам Верховного Суда РФ от 14.11.2017 N 84-КГ17-6 Требование: О взыскании компенсации морального вреда. Обстоятельства: Истец указал, что ненадлежащие условия содержания под стражей в течение длительного перио" w:history="1">
        <w:r>
          <w:rPr>
            <w:rStyle w:val="a9"/>
            <w:rFonts w:ascii="Times New Roman" w:hAnsi="Times New Roman"/>
            <w:sz w:val="20"/>
            <w:szCs w:val="20"/>
          </w:rPr>
          <w:t>Определение</w:t>
        </w:r>
      </w:hyperlink>
      <w:r>
        <w:rPr>
          <w:rFonts w:ascii="Times New Roman" w:hAnsi="Times New Roman"/>
          <w:sz w:val="20"/>
          <w:szCs w:val="20"/>
        </w:rPr>
        <w:t xml:space="preserve"> Судебной коллегии по гражданским делам Верховного Суда РФ от 14.11.2017 № 84-КГ17-6 // СПС «КонсультантПлюс».</w:t>
      </w:r>
    </w:p>
  </w:footnote>
  <w:footnote w:id="377">
    <w:p w14:paraId="31174888" w14:textId="77777777" w:rsidR="00FD5ABB" w:rsidRDefault="00FD5AB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
        <w:rPr>
          <w:rStyle w:val="a7"/>
          <w:rFonts w:ascii="Times New Roman" w:hAnsi="Times New Roman"/>
          <w:sz w:val="20"/>
          <w:szCs w:val="20"/>
        </w:rPr>
        <w:footnoteRef/>
      </w:r>
      <w:r>
        <w:rPr>
          <w:rFonts w:ascii="Times New Roman" w:hAnsi="Times New Roman"/>
          <w:sz w:val="20"/>
          <w:szCs w:val="20"/>
        </w:rPr>
        <w:t xml:space="preserve"> О применении судами гражданского законодательства, регулирующего отношения по обязательствам вследствие причинения вреда жизни или здоровью гражданина : постановление Пленума Верховного Суда РФ от 26.01.2010 № 1// Бюллетень Верховного Суда РФ. – 2010. – № 3.</w:t>
      </w:r>
    </w:p>
  </w:footnote>
  <w:footnote w:id="378">
    <w:p w14:paraId="65465C20" w14:textId="77777777" w:rsidR="00FD5ABB" w:rsidRDefault="00FD5AB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
        <w:rPr>
          <w:rStyle w:val="a7"/>
          <w:rFonts w:ascii="Times New Roman" w:hAnsi="Times New Roman"/>
          <w:sz w:val="20"/>
          <w:szCs w:val="20"/>
        </w:rPr>
        <w:footnoteRef/>
      </w:r>
      <w:r>
        <w:rPr>
          <w:rFonts w:ascii="Times New Roman" w:hAnsi="Times New Roman"/>
          <w:sz w:val="20"/>
          <w:szCs w:val="20"/>
        </w:rPr>
        <w:t xml:space="preserve"> Апелляционное </w:t>
      </w:r>
      <w:hyperlink r:id="rId15" w:tooltip="Апелляционное определение Краснодарского краевого суда от 16.08.2016 по делу N 33-20241/2016 Требование: О компенсации морального вреда. Обстоятельства: Ответчик в помещении магазина оскорбил истицу и ударил ее (постановлением суда ответчик был признан ви" w:history="1">
        <w:r>
          <w:rPr>
            <w:rStyle w:val="a9"/>
            <w:rFonts w:ascii="Times New Roman" w:hAnsi="Times New Roman"/>
            <w:sz w:val="20"/>
            <w:szCs w:val="20"/>
          </w:rPr>
          <w:t>определение</w:t>
        </w:r>
      </w:hyperlink>
      <w:r>
        <w:rPr>
          <w:rFonts w:ascii="Times New Roman" w:hAnsi="Times New Roman"/>
          <w:sz w:val="20"/>
          <w:szCs w:val="20"/>
        </w:rPr>
        <w:t xml:space="preserve"> Краснодарского краевого суда от 16.08.2016 по делу № 33-20241/2016 // СПС «КонсультантПлюс».</w:t>
      </w:r>
    </w:p>
  </w:footnote>
  <w:footnote w:id="379">
    <w:p w14:paraId="574925D8" w14:textId="77777777" w:rsidR="00FD5ABB" w:rsidRDefault="00FD5AB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
        <w:rPr>
          <w:rStyle w:val="a7"/>
          <w:rFonts w:ascii="Times New Roman" w:hAnsi="Times New Roman"/>
          <w:sz w:val="20"/>
          <w:szCs w:val="20"/>
        </w:rPr>
        <w:footnoteRef/>
      </w:r>
      <w:r>
        <w:rPr>
          <w:rFonts w:ascii="Times New Roman" w:hAnsi="Times New Roman"/>
          <w:sz w:val="20"/>
          <w:szCs w:val="20"/>
        </w:rPr>
        <w:t xml:space="preserve"> Апелляционное </w:t>
      </w:r>
      <w:hyperlink r:id="rId16" w:tooltip="Апелляционное определение Свердловского областного суда от 24.07.2014 по делу N 33-9003/2014 Требование: О взыскании: 1) Страхового возмещения, компенсации морального вреда, расходов на лечение; 2) Дополнительных расходов на косметологические услуги. Обст" w:history="1">
        <w:r>
          <w:rPr>
            <w:rStyle w:val="a9"/>
            <w:rFonts w:ascii="Times New Roman" w:hAnsi="Times New Roman"/>
            <w:sz w:val="20"/>
            <w:szCs w:val="20"/>
          </w:rPr>
          <w:t>определение</w:t>
        </w:r>
      </w:hyperlink>
      <w:r>
        <w:rPr>
          <w:rFonts w:ascii="Times New Roman" w:hAnsi="Times New Roman"/>
          <w:sz w:val="20"/>
          <w:szCs w:val="20"/>
        </w:rPr>
        <w:t xml:space="preserve"> Свердловского областного суда от 24.07.2014 по делу № 33-9003/2014 // СПС «КонсультантПлюс».</w:t>
      </w:r>
    </w:p>
  </w:footnote>
  <w:footnote w:id="380">
    <w:p w14:paraId="2C3DB0BA" w14:textId="77777777" w:rsidR="00FD5ABB" w:rsidRDefault="00FD5AB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
        <w:rPr>
          <w:rStyle w:val="a7"/>
          <w:rFonts w:ascii="Times New Roman" w:hAnsi="Times New Roman"/>
          <w:sz w:val="20"/>
          <w:szCs w:val="20"/>
        </w:rPr>
        <w:footnoteRef/>
      </w:r>
      <w:r>
        <w:rPr>
          <w:rFonts w:ascii="Times New Roman" w:hAnsi="Times New Roman"/>
          <w:sz w:val="20"/>
          <w:szCs w:val="20"/>
        </w:rPr>
        <w:t xml:space="preserve"> Апелляционное </w:t>
      </w:r>
      <w:hyperlink r:id="rId17" w:tooltip="Апелляционное определение Верховного суда Республики Адыгея от 25.03.2016 по делу N 33-404/2016 Требование: О возмещении материального ущерба и морального вреда. Обстоятельства: В результате ДТП истец получил ушиб мягких тканей левого коленного сустава. Р" w:history="1">
        <w:r>
          <w:rPr>
            <w:rStyle w:val="a9"/>
            <w:rFonts w:ascii="Times New Roman" w:hAnsi="Times New Roman"/>
            <w:sz w:val="20"/>
            <w:szCs w:val="20"/>
          </w:rPr>
          <w:t>определение</w:t>
        </w:r>
      </w:hyperlink>
      <w:r>
        <w:rPr>
          <w:rFonts w:ascii="Times New Roman" w:hAnsi="Times New Roman"/>
          <w:sz w:val="20"/>
          <w:szCs w:val="20"/>
        </w:rPr>
        <w:t xml:space="preserve"> Верховного суда Республики Адыгея от 25.03.2016 по делу № 33-404/2016 // СПС «КонсультантПлюс».</w:t>
      </w:r>
    </w:p>
  </w:footnote>
  <w:footnote w:id="381">
    <w:p w14:paraId="55B1A091" w14:textId="77777777" w:rsidR="00FD5ABB" w:rsidRDefault="00FD5AB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
        <w:rPr>
          <w:rStyle w:val="a7"/>
          <w:rFonts w:ascii="Times New Roman" w:hAnsi="Times New Roman"/>
          <w:sz w:val="20"/>
          <w:szCs w:val="20"/>
        </w:rPr>
        <w:footnoteRef/>
      </w:r>
      <w:r>
        <w:rPr>
          <w:rFonts w:ascii="Times New Roman" w:hAnsi="Times New Roman"/>
          <w:sz w:val="20"/>
          <w:szCs w:val="20"/>
        </w:rPr>
        <w:t xml:space="preserve"> Апелляционное </w:t>
      </w:r>
      <w:hyperlink r:id="rId18" w:tooltip="Апелляционное определение Пермского краевого суда от 05.10.2015 по делу N 33-10360/2015 Требование: О взыскании компенсации морального вреда, страхового возмещения вреда, причиненного имуществу, жизни и здоровью, утраченного заработка. Обстоятельства: Сот" w:history="1">
        <w:r>
          <w:rPr>
            <w:rStyle w:val="a9"/>
            <w:rFonts w:ascii="Times New Roman" w:hAnsi="Times New Roman"/>
            <w:sz w:val="20"/>
            <w:szCs w:val="20"/>
          </w:rPr>
          <w:t>определение</w:t>
        </w:r>
      </w:hyperlink>
      <w:r>
        <w:rPr>
          <w:rFonts w:ascii="Times New Roman" w:hAnsi="Times New Roman"/>
          <w:sz w:val="20"/>
          <w:szCs w:val="20"/>
        </w:rPr>
        <w:t xml:space="preserve"> Пермского краевого суда от 05.10.2015 по делу № 33-10360/2015</w:t>
      </w:r>
      <w:r>
        <w:t xml:space="preserve"> </w:t>
      </w:r>
      <w:r>
        <w:rPr>
          <w:rFonts w:ascii="Times New Roman" w:hAnsi="Times New Roman"/>
          <w:sz w:val="20"/>
          <w:szCs w:val="20"/>
        </w:rPr>
        <w:t>// СПС «КонсультантПлюс».</w:t>
      </w:r>
    </w:p>
  </w:footnote>
  <w:footnote w:id="382">
    <w:p w14:paraId="1A69C214" w14:textId="77777777" w:rsidR="00FD5ABB" w:rsidRDefault="00FD5AB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
        <w:rPr>
          <w:rStyle w:val="a7"/>
          <w:rFonts w:ascii="Times New Roman" w:hAnsi="Times New Roman"/>
          <w:sz w:val="20"/>
          <w:szCs w:val="20"/>
        </w:rPr>
        <w:footnoteRef/>
      </w:r>
      <w:r>
        <w:rPr>
          <w:rFonts w:ascii="Times New Roman" w:hAnsi="Times New Roman"/>
          <w:sz w:val="20"/>
          <w:szCs w:val="20"/>
        </w:rPr>
        <w:t xml:space="preserve"> Апелляционное </w:t>
      </w:r>
      <w:hyperlink r:id="rId19" w:tooltip="Ссылка на КонсультантПлюс" w:history="1">
        <w:r>
          <w:rPr>
            <w:rStyle w:val="a9"/>
            <w:rFonts w:ascii="Times New Roman" w:hAnsi="Times New Roman"/>
            <w:sz w:val="20"/>
            <w:szCs w:val="20"/>
          </w:rPr>
          <w:t>определение</w:t>
        </w:r>
      </w:hyperlink>
      <w:r>
        <w:rPr>
          <w:rFonts w:ascii="Times New Roman" w:hAnsi="Times New Roman"/>
          <w:sz w:val="20"/>
          <w:szCs w:val="20"/>
        </w:rPr>
        <w:t xml:space="preserve"> Верховного суда Республики Башкортостан от 30.08.2016 по делу № 33-16727/2016 // СПС «КонсультантПлюс».</w:t>
      </w:r>
    </w:p>
  </w:footnote>
  <w:footnote w:id="383">
    <w:p w14:paraId="66474637" w14:textId="77777777" w:rsidR="00FD5ABB" w:rsidRDefault="00FD5ABB" w:rsidP="001B6C3B">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
        <w:rPr>
          <w:rStyle w:val="a7"/>
          <w:rFonts w:ascii="Times New Roman" w:hAnsi="Times New Roman"/>
          <w:sz w:val="20"/>
          <w:szCs w:val="20"/>
        </w:rPr>
        <w:footnoteRef/>
      </w:r>
      <w:r>
        <w:rPr>
          <w:rFonts w:ascii="Times New Roman" w:hAnsi="Times New Roman"/>
          <w:sz w:val="20"/>
          <w:szCs w:val="20"/>
        </w:rPr>
        <w:t xml:space="preserve"> </w:t>
      </w:r>
      <w:r>
        <w:rPr>
          <w:rFonts w:ascii="Times New Roman" w:hAnsi="Times New Roman"/>
          <w:sz w:val="20"/>
          <w:szCs w:val="20"/>
          <w:shd w:val="clear" w:color="auto" w:fill="FFFFFF"/>
        </w:rPr>
        <w:t>Моисеева О. В. Проблемы компенсации морального вреда // Российский судья. – 2019. – № 6. – С. 26 - 29.</w:t>
      </w:r>
    </w:p>
  </w:footnote>
  <w:footnote w:id="384">
    <w:p w14:paraId="575D9AB9"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Fonts w:ascii="Times New Roman" w:hAnsi="Times New Roman" w:cs="Times New Roman"/>
          <w:vertAlign w:val="superscript"/>
        </w:rPr>
        <w:footnoteRef/>
      </w:r>
      <w:r>
        <w:rPr>
          <w:rFonts w:ascii="Times New Roman" w:hAnsi="Times New Roman" w:cs="Times New Roman"/>
          <w:vertAlign w:val="superscript"/>
        </w:rPr>
        <w:t xml:space="preserve"> </w:t>
      </w:r>
      <w:r>
        <w:rPr>
          <w:rFonts w:ascii="Times New Roman" w:hAnsi="Times New Roman" w:cs="Times New Roman"/>
        </w:rPr>
        <w:t>Корпоративное право: учебный курс: в 2 т. / Е.Г. Афанасьева, В.А. Вайпан, А.В. Габов и др.; под ред.                        И.С. Шиткина. –  М.: Статут, 2018. – Т.2. – С. 170.</w:t>
      </w:r>
    </w:p>
  </w:footnote>
  <w:footnote w:id="385">
    <w:p w14:paraId="3D0596E1"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Гражданский кодекс Российской Федерации (часть первая) : федерал. закон от 30.11.1994 № 51-ФЗ : в ред. от 16.12.2019 // СЗ РФ. – 1994. – № 32. – Ст. 3301.</w:t>
      </w:r>
    </w:p>
  </w:footnote>
  <w:footnote w:id="386">
    <w:p w14:paraId="1A7A1041"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Fonts w:ascii="Times New Roman" w:hAnsi="Times New Roman" w:cs="Times New Roman"/>
          <w:vertAlign w:val="superscript"/>
        </w:rPr>
        <w:footnoteRef/>
      </w:r>
      <w:r>
        <w:rPr>
          <w:rFonts w:ascii="Times New Roman" w:hAnsi="Times New Roman" w:cs="Times New Roman"/>
          <w:vertAlign w:val="superscript"/>
        </w:rPr>
        <w:t xml:space="preserve"> </w:t>
      </w:r>
      <w:r>
        <w:rPr>
          <w:rFonts w:ascii="Times New Roman" w:hAnsi="Times New Roman" w:cs="Times New Roman"/>
        </w:rPr>
        <w:t>О конкуренции и ограничении монополистической деятельности на товарных рынках : закон РСФСР от 22.03.1991 № 948-1 : в ред. от 26.07.2006 // Ведомости СНД и ВС РСФСР. – 1991. – № 16. – Ст. 499.</w:t>
      </w:r>
    </w:p>
  </w:footnote>
  <w:footnote w:id="387">
    <w:p w14:paraId="57CE5146"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Конкурентное право (правовое регулирование конкуренции): учебник / К.Ю. Тотьев. –  М.: РДЛ, 2000. –                    С. 122.</w:t>
      </w:r>
    </w:p>
  </w:footnote>
  <w:footnote w:id="388">
    <w:p w14:paraId="2110C518"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Корпоративное право: учебный курс: в 2 т. / Е.Г. Афанасьева, В.А. Вайпан, А.В. Габов и др.; под ред.                     И.С. Шиткина. –  М.: Статут, 2018. – Т.2. – С. 175.</w:t>
      </w:r>
    </w:p>
  </w:footnote>
  <w:footnote w:id="389">
    <w:p w14:paraId="1B65FB51"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Проект Федерального закона № 47538-6 «О внесении изменений в части первую, вторую, третью и четвертую Гражданского кодекса Российской Федерации» (ред., принята ГД ФС РФ в </w:t>
      </w:r>
      <w:r>
        <w:rPr>
          <w:rFonts w:ascii="Times New Roman" w:hAnsi="Times New Roman" w:cs="Times New Roman"/>
          <w:lang w:val="en-US"/>
        </w:rPr>
        <w:t>I</w:t>
      </w:r>
      <w:r>
        <w:rPr>
          <w:rFonts w:ascii="Times New Roman" w:hAnsi="Times New Roman" w:cs="Times New Roman"/>
        </w:rPr>
        <w:t xml:space="preserve"> чтении 27.04.2012) [Электронный ресурс] // СПС «Консультант плюс». – Режим доступа:  </w:t>
      </w:r>
      <w:hyperlink r:id="rId20" w:history="1">
        <w:r>
          <w:rPr>
            <w:rStyle w:val="a9"/>
            <w:rFonts w:ascii="Times New Roman" w:hAnsi="Times New Roman" w:cs="Times New Roman"/>
          </w:rPr>
          <w:t>http://www.consultant.ru/</w:t>
        </w:r>
      </w:hyperlink>
      <w:r>
        <w:rPr>
          <w:rFonts w:ascii="Times New Roman" w:hAnsi="Times New Roman" w:cs="Times New Roman"/>
        </w:rPr>
        <w:t>.</w:t>
      </w:r>
    </w:p>
  </w:footnote>
  <w:footnote w:id="390">
    <w:p w14:paraId="326724D9"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Пашинана Е.О. Правовое регулирование отношений аффилированности в российском законодательстве // Современные тенденции развития гражданского и гражданского процессуального законодательства и практики его применения. – 2018. – № 5. – С. 125.</w:t>
      </w:r>
    </w:p>
  </w:footnote>
  <w:footnote w:id="391">
    <w:p w14:paraId="260E0039"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О несостоятельности (банкротстве) : федер. закон от 26.10.2002 № 127-ФЗ : в ред. от 02.12.2019  № 394-ФЗ // СЗ РФ. – 2002. – № 43. – Ст. 4190; Российская газета. – 02.12.2019. – №  275(8033).</w:t>
      </w:r>
    </w:p>
  </w:footnote>
  <w:footnote w:id="392">
    <w:p w14:paraId="022B4B99"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Гражданский кодекс Российской Федерации. Часть первая: федер. закон Рос. Федерации от 30.11.1994 № 51-ФЗ : в ред. от 18.07.2019 N 177-ФЗ // СЗ РФ. – 1994. – № 32. – Ст. 3301; СЗ РФ. – 2019. – № 29. – Ст. 3844.</w:t>
      </w:r>
    </w:p>
  </w:footnote>
  <w:footnote w:id="393">
    <w:p w14:paraId="51FFEB99"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i/>
        </w:rPr>
        <w:t>Борисов А.Н.</w:t>
      </w:r>
      <w:r>
        <w:rPr>
          <w:rFonts w:ascii="Times New Roman" w:hAnsi="Times New Roman" w:cs="Times New Roman"/>
        </w:rPr>
        <w:t xml:space="preserve"> Комментарий к Федеральному закону от 26 октября 2002 г. N 127-ФЗ «О несостоятельности (банкротстве)» (постатейный). М.: Деловой двор, –  2016. —  С. 89-98.</w:t>
      </w:r>
    </w:p>
  </w:footnote>
  <w:footnote w:id="394">
    <w:p w14:paraId="61FE1D35"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i/>
        </w:rPr>
        <w:t>Масленникова Л.В., Станишевский, А.И.</w:t>
      </w:r>
      <w:r>
        <w:rPr>
          <w:rFonts w:ascii="Times New Roman" w:hAnsi="Times New Roman" w:cs="Times New Roman"/>
        </w:rPr>
        <w:t xml:space="preserve"> К вопросу об участии уполномоченного органа в деле о банкротстве / Л.В. Масленникова, А.И. Станишевский // Проблемы экономики и юридической практики. – 2018. – № 3. – С. 168-170.</w:t>
      </w:r>
    </w:p>
  </w:footnote>
  <w:footnote w:id="395">
    <w:p w14:paraId="6CB355D0"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i/>
        </w:rPr>
        <w:t>Аюрова А.А.</w:t>
      </w:r>
      <w:r>
        <w:rPr>
          <w:rFonts w:ascii="Times New Roman" w:hAnsi="Times New Roman" w:cs="Times New Roman"/>
        </w:rPr>
        <w:t xml:space="preserve"> Теоретические основания оспаривания сделок в процессе банкротства // Журнал российского права – 2017. – № 3. – С. 92–117.</w:t>
      </w:r>
    </w:p>
  </w:footnote>
  <w:footnote w:id="396">
    <w:p w14:paraId="36F00B6B"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i/>
        </w:rPr>
        <w:t>Кузнецов С. А.</w:t>
      </w:r>
      <w:r>
        <w:rPr>
          <w:rFonts w:ascii="Times New Roman" w:hAnsi="Times New Roman" w:cs="Times New Roman"/>
        </w:rPr>
        <w:t xml:space="preserve"> Основные проблемы правового института несостоятельности (банкротства) : монография. — М. : Издательство Юрайт, –  2016. —  С. 96-97.</w:t>
      </w:r>
    </w:p>
  </w:footnote>
  <w:footnote w:id="397">
    <w:p w14:paraId="31F2CF47"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i/>
        </w:rPr>
        <w:t>Астафуров А. Ю.</w:t>
      </w:r>
      <w:r>
        <w:rPr>
          <w:rFonts w:ascii="Times New Roman" w:hAnsi="Times New Roman" w:cs="Times New Roman"/>
        </w:rPr>
        <w:t xml:space="preserve"> Оспаривание сделок по «банкротным» основаниям / А.Ю. Астафуров // Адвокат. – 2017. – № 3. – С. 91–112.</w:t>
      </w:r>
    </w:p>
  </w:footnote>
  <w:footnote w:id="398">
    <w:p w14:paraId="4B06B49A"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i/>
        </w:rPr>
        <w:t>Масленникова, Л.В.</w:t>
      </w:r>
      <w:r>
        <w:rPr>
          <w:rFonts w:ascii="Times New Roman" w:hAnsi="Times New Roman" w:cs="Times New Roman"/>
        </w:rPr>
        <w:t xml:space="preserve"> Правовое положение кредиторов в отдельных процедурах банкротства юридических лиц: учебное пособие / Л. В. Масленникова ; М-во сельского хоз-ва Российской Федерации, ФГБОУ "Кубанский гос. аграрный ун-т". Краснодар: КубГАУ, – 2016. – С. 78-88.</w:t>
      </w:r>
    </w:p>
  </w:footnote>
  <w:footnote w:id="399">
    <w:p w14:paraId="5B4B61AB"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i/>
        </w:rPr>
        <w:t>Шестов А.В.</w:t>
      </w:r>
      <w:r>
        <w:rPr>
          <w:rFonts w:ascii="Times New Roman" w:hAnsi="Times New Roman" w:cs="Times New Roman"/>
        </w:rPr>
        <w:t xml:space="preserve"> Неравноценные сделки несостоятельного должника // Арбитражный и гражданский процесс – 2016. – № 8. – С. 90–110.</w:t>
      </w:r>
    </w:p>
  </w:footnote>
  <w:footnote w:id="400">
    <w:p w14:paraId="75EEC245"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i/>
        </w:rPr>
        <w:t>Бычков А. И.</w:t>
      </w:r>
      <w:r>
        <w:rPr>
          <w:rFonts w:ascii="Times New Roman" w:hAnsi="Times New Roman" w:cs="Times New Roman"/>
        </w:rPr>
        <w:t xml:space="preserve"> Проведение расчетных операций: способы, специфика и риски.// М. : Издательство Юрайт, –  2016. —  С. 48-67.</w:t>
      </w:r>
    </w:p>
  </w:footnote>
  <w:footnote w:id="401">
    <w:p w14:paraId="639FD982"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i/>
        </w:rPr>
        <w:t>Телюкина М.В.</w:t>
      </w:r>
      <w:r>
        <w:rPr>
          <w:rFonts w:ascii="Times New Roman" w:hAnsi="Times New Roman" w:cs="Times New Roman"/>
        </w:rPr>
        <w:t xml:space="preserve"> Комментарий к Федеральному Закону "О несостоятельности (банкротстве)" : монография. — М. : Издательство Юрайт, –  2017. —  С. 279-288.</w:t>
      </w:r>
    </w:p>
  </w:footnote>
  <w:footnote w:id="402">
    <w:p w14:paraId="06684797"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Style w:val="a7"/>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i/>
        </w:rPr>
        <w:t>Марков П.А.</w:t>
      </w:r>
      <w:r>
        <w:rPr>
          <w:rFonts w:ascii="Times New Roman" w:hAnsi="Times New Roman" w:cs="Times New Roman"/>
        </w:rPr>
        <w:t xml:space="preserve"> Признание недействительной подозрительной сделки в деле о банкротстве // Право и экономика – 2016. – № 11. – С. 94–119.</w:t>
      </w:r>
    </w:p>
  </w:footnote>
  <w:footnote w:id="403">
    <w:p w14:paraId="698F2CE4"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sz w:val="18"/>
        </w:rPr>
      </w:pPr>
      <w:r>
        <w:rPr>
          <w:rStyle w:val="a7"/>
          <w:sz w:val="18"/>
        </w:rPr>
        <w:footnoteRef/>
      </w:r>
      <w:r>
        <w:rPr>
          <w:sz w:val="18"/>
        </w:rPr>
        <w:t xml:space="preserve"> </w:t>
      </w:r>
      <w:r>
        <w:rPr>
          <w:rFonts w:ascii="Times New Roman" w:hAnsi="Times New Roman" w:cs="Times New Roman"/>
          <w:iCs/>
          <w:sz w:val="22"/>
        </w:rPr>
        <w:t>Долинская В. В. Договоры в предпринимательской деятельности. – М.,  2005. – С. 78.</w:t>
      </w:r>
    </w:p>
  </w:footnote>
  <w:footnote w:id="404">
    <w:p w14:paraId="3F79DFAB" w14:textId="4545DFFE" w:rsidR="00FD5ABB" w:rsidRPr="00657696" w:rsidRDefault="00FD5ABB" w:rsidP="00657696">
      <w:pPr>
        <w:pStyle w:val="a5"/>
        <w:ind w:firstLine="709"/>
        <w:jc w:val="both"/>
        <w:rPr>
          <w:rFonts w:ascii="Times New Roman" w:hAnsi="Times New Roman" w:cs="Times New Roman"/>
        </w:rPr>
      </w:pPr>
      <w:r w:rsidRPr="00657696">
        <w:rPr>
          <w:rStyle w:val="a7"/>
          <w:rFonts w:ascii="Times New Roman" w:hAnsi="Times New Roman" w:cs="Times New Roman"/>
        </w:rPr>
        <w:footnoteRef/>
      </w:r>
      <w:r w:rsidRPr="00657696">
        <w:rPr>
          <w:rFonts w:ascii="Times New Roman" w:hAnsi="Times New Roman" w:cs="Times New Roman"/>
        </w:rPr>
        <w:t xml:space="preserve"> Поленов Р.В. Порядок заключения соглашения о разделе продукции // Власть Закона. </w:t>
      </w:r>
      <w:r>
        <w:rPr>
          <w:rFonts w:ascii="Times New Roman" w:hAnsi="Times New Roman" w:cs="Times New Roman"/>
        </w:rPr>
        <w:t xml:space="preserve">- </w:t>
      </w:r>
      <w:r w:rsidRPr="00657696">
        <w:rPr>
          <w:rFonts w:ascii="Times New Roman" w:hAnsi="Times New Roman" w:cs="Times New Roman"/>
        </w:rPr>
        <w:t xml:space="preserve">2019. </w:t>
      </w:r>
      <w:r>
        <w:rPr>
          <w:rFonts w:ascii="Times New Roman" w:hAnsi="Times New Roman" w:cs="Times New Roman"/>
        </w:rPr>
        <w:t xml:space="preserve">- </w:t>
      </w:r>
      <w:r w:rsidRPr="00657696">
        <w:rPr>
          <w:rFonts w:ascii="Times New Roman" w:hAnsi="Times New Roman" w:cs="Times New Roman"/>
        </w:rPr>
        <w:t xml:space="preserve">№ 1. </w:t>
      </w:r>
      <w:r>
        <w:rPr>
          <w:rFonts w:ascii="Times New Roman" w:hAnsi="Times New Roman" w:cs="Times New Roman"/>
        </w:rPr>
        <w:t xml:space="preserve">- </w:t>
      </w:r>
      <w:r w:rsidRPr="00657696">
        <w:rPr>
          <w:rFonts w:ascii="Times New Roman" w:hAnsi="Times New Roman" w:cs="Times New Roman"/>
        </w:rPr>
        <w:t>С. 240.</w:t>
      </w:r>
    </w:p>
  </w:footnote>
  <w:footnote w:id="405">
    <w:p w14:paraId="34BA1A25"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Calibri" w:hAnsi="Calibri" w:cs="Calibri"/>
          <w:sz w:val="18"/>
          <w:szCs w:val="20"/>
        </w:rPr>
      </w:pPr>
      <w:r>
        <w:rPr>
          <w:rStyle w:val="a7"/>
          <w:sz w:val="20"/>
        </w:rPr>
        <w:footnoteRef/>
      </w:r>
      <w:r>
        <w:rPr>
          <w:sz w:val="20"/>
        </w:rPr>
        <w:t xml:space="preserve"> </w:t>
      </w:r>
      <w:r>
        <w:rPr>
          <w:rFonts w:ascii="Times New Roman" w:hAnsi="Times New Roman" w:cs="Times New Roman"/>
          <w:szCs w:val="24"/>
        </w:rPr>
        <w:t>О свободе договора и ее пределах : Постановление Пленума ВАС РФ от 14.03.2014 № 16 // Экономика и жизнь. – 2014. – № 16.</w:t>
      </w:r>
    </w:p>
  </w:footnote>
  <w:footnote w:id="406">
    <w:p w14:paraId="6289C5D2"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18"/>
        </w:rPr>
      </w:pPr>
      <w:r>
        <w:rPr>
          <w:rStyle w:val="a7"/>
          <w:sz w:val="18"/>
        </w:rPr>
        <w:footnoteRef/>
      </w:r>
      <w:r>
        <w:rPr>
          <w:sz w:val="18"/>
        </w:rPr>
        <w:t xml:space="preserve"> </w:t>
      </w:r>
      <w:r>
        <w:rPr>
          <w:rFonts w:ascii="Times New Roman" w:hAnsi="Times New Roman" w:cs="Times New Roman"/>
          <w:sz w:val="22"/>
          <w:szCs w:val="24"/>
        </w:rPr>
        <w:t>Карапетов А. Г. Свобода договора и пределы императивности норм гражданского права // Вестник ВАС РФ. – 2009. – № 11. – С. 124.</w:t>
      </w:r>
    </w:p>
  </w:footnote>
  <w:footnote w:id="407">
    <w:p w14:paraId="5A76F4F6"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Calibri" w:hAnsi="Calibri" w:cs="Calibri"/>
          <w:sz w:val="20"/>
          <w:szCs w:val="20"/>
        </w:rPr>
      </w:pPr>
      <w:r>
        <w:tab/>
      </w:r>
      <w:r>
        <w:rPr>
          <w:rStyle w:val="a7"/>
        </w:rPr>
        <w:footnoteRef/>
      </w:r>
      <w:r>
        <w:t xml:space="preserve"> </w:t>
      </w:r>
      <w:r>
        <w:rPr>
          <w:rFonts w:ascii="Times New Roman" w:hAnsi="Times New Roman" w:cs="Times New Roman"/>
          <w:szCs w:val="24"/>
        </w:rPr>
        <w:t>Карапетов А. Г., Савельев А. И. Свобода договора и ее пределы : в 2 т. – Т. 1. – М. : Статут, 2012. – С. 102.</w:t>
      </w:r>
    </w:p>
    <w:p w14:paraId="20A05BE2" w14:textId="77777777" w:rsidR="00FD5ABB" w:rsidRDefault="00FD5ABB" w:rsidP="001B6C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footnote>
  <w:footnote w:id="408">
    <w:p w14:paraId="42F1B0C3"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rPr>
          <w:rFonts w:ascii="Times New Roman" w:eastAsia="Calibri" w:hAnsi="Times New Roman" w:cs="Times New Roman"/>
          <w:szCs w:val="24"/>
        </w:rPr>
      </w:pPr>
      <w:r>
        <w:rPr>
          <w:rStyle w:val="a7"/>
          <w:sz w:val="20"/>
        </w:rPr>
        <w:footnoteRef/>
      </w:r>
      <w:r>
        <w:rPr>
          <w:sz w:val="20"/>
        </w:rPr>
        <w:t xml:space="preserve"> </w:t>
      </w:r>
      <w:r>
        <w:rPr>
          <w:rFonts w:ascii="Times New Roman" w:eastAsia="Calibri" w:hAnsi="Times New Roman" w:cs="Times New Roman"/>
          <w:szCs w:val="24"/>
        </w:rPr>
        <w:t>О некоторых вопросах, связанных с применением части первой Гражданского кодекса Российской Федерации: Постановление Пленума Верховного Суда РФ № 6, Пленума ВАС РФ № 8 от 01.07.1996 (ред. от 23.06.2015) // Бюллетень Верховного Суда РФ. 1996. № 9. 1996. № 5. 1997.</w:t>
      </w:r>
    </w:p>
  </w:footnote>
  <w:footnote w:id="409">
    <w:p w14:paraId="4D170381" w14:textId="77777777" w:rsidR="00FD5ABB" w:rsidRDefault="00FD5ABB" w:rsidP="001B6C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rPr>
          <w:rFonts w:ascii="Times New Roman" w:hAnsi="Times New Roman" w:cs="Times New Roman"/>
          <w:szCs w:val="24"/>
        </w:rPr>
      </w:pPr>
      <w:r>
        <w:rPr>
          <w:rStyle w:val="a7"/>
          <w:rFonts w:ascii="Times New Roman" w:hAnsi="Times New Roman" w:cs="Times New Roman"/>
          <w:szCs w:val="24"/>
        </w:rPr>
        <w:footnoteRef/>
      </w:r>
      <w:r>
        <w:rPr>
          <w:rFonts w:ascii="Times New Roman" w:hAnsi="Times New Roman" w:cs="Times New Roman"/>
          <w:szCs w:val="24"/>
        </w:rPr>
        <w:t xml:space="preserve"> </w:t>
      </w:r>
      <w:r>
        <w:rPr>
          <w:rFonts w:ascii="Times New Roman" w:hAnsi="Times New Roman" w:cs="Times New Roman"/>
          <w:szCs w:val="28"/>
        </w:rPr>
        <w:t xml:space="preserve">О применении судами некоторых положений Гражданского кодекса Российской Федерации об ответственности за нарушение обязательств:  Постановление Пленума Верховного Суда РФ от 24.03.2016 № 7 // Бюллетень Верховного Суда РФ. 2016. № 5. </w:t>
      </w:r>
    </w:p>
  </w:footnote>
  <w:footnote w:id="410">
    <w:p w14:paraId="06EE3D77" w14:textId="77777777" w:rsidR="00FD5ABB" w:rsidRDefault="00FD5ABB" w:rsidP="001B6C3B">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firstLine="709"/>
        <w:jc w:val="both"/>
        <w:rPr>
          <w:rFonts w:ascii="Times New Roman" w:hAnsi="Times New Roman" w:cs="Times New Roman"/>
          <w:b/>
          <w:color w:val="auto"/>
          <w:sz w:val="22"/>
          <w:szCs w:val="22"/>
        </w:rPr>
      </w:pPr>
      <w:r>
        <w:rPr>
          <w:rStyle w:val="a7"/>
          <w:rFonts w:ascii="Times New Roman" w:hAnsi="Times New Roman" w:cs="Times New Roman"/>
          <w:color w:val="auto"/>
          <w:sz w:val="22"/>
          <w:szCs w:val="22"/>
        </w:rPr>
        <w:footnoteRef/>
      </w:r>
      <w:r>
        <w:rPr>
          <w:rFonts w:ascii="Times New Roman" w:hAnsi="Times New Roman" w:cs="Times New Roman"/>
          <w:color w:val="auto"/>
          <w:sz w:val="22"/>
          <w:szCs w:val="22"/>
        </w:rPr>
        <w:t xml:space="preserve"> Постановление </w:t>
      </w:r>
      <w:r>
        <w:rPr>
          <w:rFonts w:ascii="Times New Roman" w:hAnsi="Times New Roman" w:cs="Times New Roman"/>
          <w:color w:val="auto"/>
          <w:sz w:val="22"/>
          <w:szCs w:val="22"/>
          <w:bdr w:val="none" w:sz="0" w:space="0" w:color="auto" w:frame="1"/>
        </w:rPr>
        <w:t xml:space="preserve">Пятнадцатого арбитражного апелляционного суда (15 ААС) </w:t>
      </w:r>
      <w:r>
        <w:rPr>
          <w:rFonts w:ascii="Times New Roman" w:hAnsi="Times New Roman" w:cs="Times New Roman"/>
          <w:color w:val="auto"/>
          <w:sz w:val="22"/>
          <w:szCs w:val="22"/>
        </w:rPr>
        <w:t>от 30.08.2016 по делу № А32-39950/2015; Решение Арбитражного суда Кемеровской области от 30.06.2016 по делу № А27-1229/2016 // http://sudact.ru</w:t>
      </w:r>
    </w:p>
  </w:footnote>
  <w:footnote w:id="411">
    <w:p w14:paraId="7CB8AA49" w14:textId="77777777" w:rsidR="00FD5ABB" w:rsidRDefault="00FD5ABB" w:rsidP="001B6C3B">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firstLine="709"/>
        <w:jc w:val="both"/>
        <w:rPr>
          <w:b/>
          <w:color w:val="auto"/>
          <w:sz w:val="22"/>
          <w:szCs w:val="24"/>
        </w:rPr>
      </w:pPr>
      <w:r>
        <w:rPr>
          <w:rStyle w:val="a7"/>
          <w:rFonts w:ascii="Times New Roman" w:hAnsi="Times New Roman" w:cs="Times New Roman"/>
          <w:color w:val="auto"/>
          <w:sz w:val="22"/>
          <w:szCs w:val="22"/>
        </w:rPr>
        <w:footnoteRef/>
      </w:r>
      <w:r>
        <w:rPr>
          <w:rFonts w:ascii="Times New Roman" w:hAnsi="Times New Roman" w:cs="Times New Roman"/>
          <w:color w:val="auto"/>
          <w:sz w:val="22"/>
          <w:szCs w:val="22"/>
        </w:rPr>
        <w:t xml:space="preserve"> Постановление </w:t>
      </w:r>
      <w:r>
        <w:rPr>
          <w:rFonts w:ascii="Times New Roman" w:hAnsi="Times New Roman" w:cs="Times New Roman"/>
          <w:color w:val="auto"/>
          <w:sz w:val="22"/>
          <w:szCs w:val="22"/>
          <w:bdr w:val="none" w:sz="0" w:space="0" w:color="auto" w:frame="1"/>
        </w:rPr>
        <w:t xml:space="preserve">Семнадцатого арбитражного апелляционного суда (17 ААС) </w:t>
      </w:r>
      <w:r>
        <w:rPr>
          <w:rFonts w:ascii="Times New Roman" w:hAnsi="Times New Roman" w:cs="Times New Roman"/>
          <w:color w:val="auto"/>
          <w:sz w:val="22"/>
          <w:szCs w:val="22"/>
        </w:rPr>
        <w:t>от 26.08.2016 по делу № А60-2102/2016 // http://sudact.ru</w:t>
      </w:r>
    </w:p>
  </w:footnote>
  <w:footnote w:id="412">
    <w:p w14:paraId="2FE95174" w14:textId="77777777" w:rsidR="00FD5ABB" w:rsidRPr="002574D4" w:rsidRDefault="00FD5ABB" w:rsidP="00F00346">
      <w:pPr>
        <w:pStyle w:val="a8"/>
        <w:tabs>
          <w:tab w:val="left" w:pos="993"/>
        </w:tabs>
        <w:jc w:val="both"/>
        <w:rPr>
          <w:sz w:val="20"/>
          <w:szCs w:val="20"/>
        </w:rPr>
      </w:pPr>
      <w:r w:rsidRPr="002574D4">
        <w:rPr>
          <w:rStyle w:val="a7"/>
        </w:rPr>
        <w:footnoteRef/>
      </w:r>
      <w:r w:rsidRPr="002574D4">
        <w:rPr>
          <w:sz w:val="20"/>
          <w:szCs w:val="20"/>
        </w:rPr>
        <w:t xml:space="preserve"> </w:t>
      </w:r>
      <w:r w:rsidRPr="002574D4">
        <w:rPr>
          <w:rFonts w:ascii="Times New Roman" w:eastAsia="Times New Roman" w:hAnsi="Times New Roman" w:cs="Times New Roman"/>
          <w:sz w:val="20"/>
          <w:szCs w:val="20"/>
        </w:rPr>
        <w:t>Закон РФ от 19.04.1991 № 1032-1 (ред. от 24.04.2020) «О занятости населения в Российской Федерации»// Собрание законодательства РФ. 1996. № 17, Ст. 1915</w:t>
      </w:r>
    </w:p>
  </w:footnote>
  <w:footnote w:id="413">
    <w:p w14:paraId="24E6A8C2" w14:textId="77777777" w:rsidR="00FD5ABB" w:rsidRPr="00F00346" w:rsidRDefault="00FD5ABB" w:rsidP="00F00346">
      <w:pPr>
        <w:pStyle w:val="a8"/>
        <w:tabs>
          <w:tab w:val="left" w:pos="993"/>
        </w:tabs>
        <w:jc w:val="both"/>
        <w:rPr>
          <w:rFonts w:ascii="Times New Roman" w:hAnsi="Times New Roman" w:cs="Times New Roman"/>
          <w:sz w:val="20"/>
          <w:szCs w:val="20"/>
        </w:rPr>
      </w:pPr>
      <w:r w:rsidRPr="002574D4">
        <w:rPr>
          <w:rStyle w:val="a7"/>
        </w:rPr>
        <w:footnoteRef/>
      </w:r>
      <w:r w:rsidRPr="002574D4">
        <w:rPr>
          <w:sz w:val="20"/>
          <w:szCs w:val="20"/>
        </w:rPr>
        <w:t xml:space="preserve"> </w:t>
      </w:r>
      <w:r w:rsidRPr="002574D4">
        <w:rPr>
          <w:rFonts w:ascii="Times New Roman" w:hAnsi="Times New Roman" w:cs="Times New Roman"/>
          <w:sz w:val="20"/>
          <w:szCs w:val="20"/>
        </w:rPr>
        <w:t xml:space="preserve">Портал «Работа в России». </w:t>
      </w:r>
      <w:r w:rsidRPr="00F00346">
        <w:rPr>
          <w:rFonts w:ascii="Times New Roman" w:hAnsi="Times New Roman" w:cs="Times New Roman"/>
          <w:sz w:val="20"/>
          <w:szCs w:val="20"/>
        </w:rPr>
        <w:t xml:space="preserve">Режим доступа: </w:t>
      </w:r>
      <w:hyperlink r:id="rId21" w:history="1">
        <w:r w:rsidRPr="00F00346">
          <w:rPr>
            <w:rFonts w:ascii="Times New Roman" w:hAnsi="Times New Roman" w:cs="Times New Roman"/>
            <w:sz w:val="20"/>
            <w:szCs w:val="20"/>
          </w:rPr>
          <w:t>https://trudvsem.ru</w:t>
        </w:r>
      </w:hyperlink>
    </w:p>
  </w:footnote>
  <w:footnote w:id="414">
    <w:p w14:paraId="3FE4D73E" w14:textId="77777777" w:rsidR="00FD5ABB" w:rsidRPr="00F00346" w:rsidRDefault="00FD5ABB" w:rsidP="00F00346">
      <w:pPr>
        <w:pStyle w:val="a8"/>
        <w:tabs>
          <w:tab w:val="left" w:pos="993"/>
        </w:tabs>
        <w:jc w:val="both"/>
        <w:rPr>
          <w:rFonts w:ascii="Times New Roman" w:hAnsi="Times New Roman" w:cs="Times New Roman"/>
          <w:sz w:val="20"/>
          <w:szCs w:val="20"/>
        </w:rPr>
      </w:pPr>
      <w:r w:rsidRPr="00F00346">
        <w:rPr>
          <w:rFonts w:ascii="Times New Roman" w:hAnsi="Times New Roman" w:cs="Times New Roman"/>
          <w:sz w:val="20"/>
          <w:szCs w:val="20"/>
        </w:rPr>
        <w:footnoteRef/>
      </w:r>
      <w:r w:rsidRPr="00F00346">
        <w:rPr>
          <w:rFonts w:ascii="Times New Roman" w:hAnsi="Times New Roman" w:cs="Times New Roman"/>
          <w:sz w:val="20"/>
          <w:szCs w:val="20"/>
        </w:rPr>
        <w:t xml:space="preserve"> Реестр аккредитованных частных агентств занятости// </w:t>
      </w:r>
      <w:hyperlink r:id="rId22" w:history="1">
        <w:r w:rsidRPr="00F00346">
          <w:rPr>
            <w:rFonts w:ascii="Times New Roman" w:hAnsi="Times New Roman" w:cs="Times New Roman"/>
            <w:sz w:val="20"/>
            <w:szCs w:val="20"/>
          </w:rPr>
          <w:t>URL:https://www.rostrud.ru/opendata/7712345678-chaz/table.html</w:t>
        </w:r>
      </w:hyperlink>
    </w:p>
  </w:footnote>
  <w:footnote w:id="415">
    <w:p w14:paraId="49224B47" w14:textId="77777777" w:rsidR="00FD5ABB" w:rsidRPr="002574D4" w:rsidRDefault="00FD5ABB" w:rsidP="00F00346">
      <w:pPr>
        <w:pStyle w:val="a8"/>
        <w:tabs>
          <w:tab w:val="left" w:pos="993"/>
        </w:tabs>
        <w:jc w:val="both"/>
        <w:rPr>
          <w:sz w:val="20"/>
          <w:szCs w:val="20"/>
        </w:rPr>
      </w:pPr>
      <w:r w:rsidRPr="00F00346">
        <w:rPr>
          <w:rFonts w:ascii="Times New Roman" w:hAnsi="Times New Roman" w:cs="Times New Roman"/>
          <w:sz w:val="20"/>
          <w:szCs w:val="20"/>
        </w:rPr>
        <w:footnoteRef/>
      </w:r>
      <w:r w:rsidRPr="00F00346">
        <w:rPr>
          <w:rFonts w:ascii="Times New Roman" w:hAnsi="Times New Roman" w:cs="Times New Roman"/>
          <w:sz w:val="20"/>
          <w:szCs w:val="20"/>
        </w:rPr>
        <w:t xml:space="preserve"> Закон РФ от 19.04.1991 № 1032-1 (ред. от 24.04.2020) «О занятости населения в Российской Федерации»// Собрание законодательства РФ. 1996. № 17, Ст. 1915</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4634FE"/>
    <w:multiLevelType w:val="hybridMultilevel"/>
    <w:tmpl w:val="23B657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38951ED"/>
    <w:multiLevelType w:val="hybridMultilevel"/>
    <w:tmpl w:val="D4BE276C"/>
    <w:lvl w:ilvl="0" w:tplc="2834B308">
      <w:start w:val="1"/>
      <w:numFmt w:val="decimal"/>
      <w:lvlText w:val="%1)"/>
      <w:lvlJc w:val="left"/>
      <w:pPr>
        <w:ind w:left="1144" w:hanging="43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04E326D1"/>
    <w:multiLevelType w:val="hybridMultilevel"/>
    <w:tmpl w:val="9788DC6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A405DE0"/>
    <w:multiLevelType w:val="hybridMultilevel"/>
    <w:tmpl w:val="6CFA2E62"/>
    <w:lvl w:ilvl="0" w:tplc="F18059D0">
      <w:start w:val="1"/>
      <w:numFmt w:val="decimal"/>
      <w:lvlText w:val="%1."/>
      <w:lvlJc w:val="left"/>
      <w:pPr>
        <w:ind w:left="1353" w:hanging="360"/>
      </w:pPr>
      <w:rPr>
        <w:rFonts w:hint="default"/>
        <w:b w:val="0"/>
        <w:strike w:val="0"/>
        <w:color w:val="000000"/>
        <w:sz w:val="24"/>
        <w:szCs w:val="28"/>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4" w15:restartNumberingAfterBreak="0">
    <w:nsid w:val="0BE27D33"/>
    <w:multiLevelType w:val="hybridMultilevel"/>
    <w:tmpl w:val="D240885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FC931FA"/>
    <w:multiLevelType w:val="hybridMultilevel"/>
    <w:tmpl w:val="165E721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123C37F8"/>
    <w:multiLevelType w:val="hybridMultilevel"/>
    <w:tmpl w:val="ED9C31F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13D17B39"/>
    <w:multiLevelType w:val="hybridMultilevel"/>
    <w:tmpl w:val="33BC0A4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85D6907"/>
    <w:multiLevelType w:val="multilevel"/>
    <w:tmpl w:val="77C438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A5033B3"/>
    <w:multiLevelType w:val="hybridMultilevel"/>
    <w:tmpl w:val="4150198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1B025FE5"/>
    <w:multiLevelType w:val="hybridMultilevel"/>
    <w:tmpl w:val="3B8CF1D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1DEE79F8"/>
    <w:multiLevelType w:val="multilevel"/>
    <w:tmpl w:val="EE109964"/>
    <w:lvl w:ilvl="0">
      <w:start w:val="1"/>
      <w:numFmt w:val="decimal"/>
      <w:lvlText w:val="%1."/>
      <w:lvlJc w:val="left"/>
      <w:pPr>
        <w:ind w:left="0" w:firstLine="0"/>
      </w:pPr>
      <w:rPr>
        <w:rFonts w:hint="default"/>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2" w15:restartNumberingAfterBreak="0">
    <w:nsid w:val="21027AF2"/>
    <w:multiLevelType w:val="hybridMultilevel"/>
    <w:tmpl w:val="0BB454F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3AB2150"/>
    <w:multiLevelType w:val="multilevel"/>
    <w:tmpl w:val="6C321F1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4AC1740"/>
    <w:multiLevelType w:val="hybridMultilevel"/>
    <w:tmpl w:val="8B26CA7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63F68BB"/>
    <w:multiLevelType w:val="hybridMultilevel"/>
    <w:tmpl w:val="7E167918"/>
    <w:lvl w:ilvl="0" w:tplc="705609B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26734979"/>
    <w:multiLevelType w:val="hybridMultilevel"/>
    <w:tmpl w:val="52E47B2A"/>
    <w:lvl w:ilvl="0" w:tplc="7AE060C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2801778F"/>
    <w:multiLevelType w:val="hybridMultilevel"/>
    <w:tmpl w:val="8334F8A2"/>
    <w:lvl w:ilvl="0" w:tplc="EE04A912">
      <w:start w:val="1"/>
      <w:numFmt w:val="decimal"/>
      <w:lvlText w:val="%1."/>
      <w:lvlJc w:val="left"/>
      <w:pPr>
        <w:ind w:left="1069" w:hanging="360"/>
      </w:pPr>
      <w:rPr>
        <w:rFonts w:eastAsia="Calibri"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2D54310B"/>
    <w:multiLevelType w:val="multilevel"/>
    <w:tmpl w:val="521A264C"/>
    <w:lvl w:ilvl="0">
      <w:start w:val="1"/>
      <w:numFmt w:val="decimal"/>
      <w:lvlText w:val="%1)"/>
      <w:lvlJc w:val="left"/>
      <w:pPr>
        <w:ind w:left="360" w:hanging="360"/>
      </w:pPr>
      <w:rPr>
        <w:smallCaps w:val="0"/>
        <w:strike w:val="0"/>
        <w:shd w:val="clear" w:color="auto" w:fill="auto"/>
        <w:vertAlign w:val="baseline"/>
      </w:rPr>
    </w:lvl>
    <w:lvl w:ilvl="1">
      <w:start w:val="1"/>
      <w:numFmt w:val="decimal"/>
      <w:lvlText w:val="%2)"/>
      <w:lvlJc w:val="left"/>
      <w:pPr>
        <w:ind w:left="720" w:hanging="360"/>
      </w:pPr>
      <w:rPr>
        <w:smallCaps w:val="0"/>
        <w:strike w:val="0"/>
        <w:shd w:val="clear" w:color="auto" w:fill="auto"/>
        <w:vertAlign w:val="baseline"/>
      </w:rPr>
    </w:lvl>
    <w:lvl w:ilvl="2">
      <w:start w:val="1"/>
      <w:numFmt w:val="decimal"/>
      <w:lvlText w:val="%3)"/>
      <w:lvlJc w:val="left"/>
      <w:pPr>
        <w:ind w:left="1080" w:hanging="360"/>
      </w:pPr>
      <w:rPr>
        <w:smallCaps w:val="0"/>
        <w:strike w:val="0"/>
        <w:shd w:val="clear" w:color="auto" w:fill="auto"/>
        <w:vertAlign w:val="baseline"/>
      </w:rPr>
    </w:lvl>
    <w:lvl w:ilvl="3">
      <w:start w:val="1"/>
      <w:numFmt w:val="decimal"/>
      <w:lvlText w:val="%4)"/>
      <w:lvlJc w:val="left"/>
      <w:pPr>
        <w:ind w:left="1440" w:hanging="360"/>
      </w:pPr>
      <w:rPr>
        <w:smallCaps w:val="0"/>
        <w:strike w:val="0"/>
        <w:shd w:val="clear" w:color="auto" w:fill="auto"/>
        <w:vertAlign w:val="baseline"/>
      </w:rPr>
    </w:lvl>
    <w:lvl w:ilvl="4">
      <w:start w:val="1"/>
      <w:numFmt w:val="decimal"/>
      <w:lvlText w:val="%5)"/>
      <w:lvlJc w:val="left"/>
      <w:pPr>
        <w:ind w:left="1800" w:hanging="360"/>
      </w:pPr>
      <w:rPr>
        <w:smallCaps w:val="0"/>
        <w:strike w:val="0"/>
        <w:shd w:val="clear" w:color="auto" w:fill="auto"/>
        <w:vertAlign w:val="baseline"/>
      </w:rPr>
    </w:lvl>
    <w:lvl w:ilvl="5">
      <w:start w:val="1"/>
      <w:numFmt w:val="decimal"/>
      <w:lvlText w:val="%6)"/>
      <w:lvlJc w:val="left"/>
      <w:pPr>
        <w:ind w:left="2160" w:hanging="360"/>
      </w:pPr>
      <w:rPr>
        <w:smallCaps w:val="0"/>
        <w:strike w:val="0"/>
        <w:shd w:val="clear" w:color="auto" w:fill="auto"/>
        <w:vertAlign w:val="baseline"/>
      </w:rPr>
    </w:lvl>
    <w:lvl w:ilvl="6">
      <w:start w:val="1"/>
      <w:numFmt w:val="decimal"/>
      <w:lvlText w:val="%7)"/>
      <w:lvlJc w:val="left"/>
      <w:pPr>
        <w:ind w:left="2520" w:hanging="360"/>
      </w:pPr>
      <w:rPr>
        <w:smallCaps w:val="0"/>
        <w:strike w:val="0"/>
        <w:shd w:val="clear" w:color="auto" w:fill="auto"/>
        <w:vertAlign w:val="baseline"/>
      </w:rPr>
    </w:lvl>
    <w:lvl w:ilvl="7">
      <w:start w:val="1"/>
      <w:numFmt w:val="decimal"/>
      <w:lvlText w:val="%8)"/>
      <w:lvlJc w:val="left"/>
      <w:pPr>
        <w:ind w:left="2880" w:hanging="360"/>
      </w:pPr>
      <w:rPr>
        <w:smallCaps w:val="0"/>
        <w:strike w:val="0"/>
        <w:shd w:val="clear" w:color="auto" w:fill="auto"/>
        <w:vertAlign w:val="baseline"/>
      </w:rPr>
    </w:lvl>
    <w:lvl w:ilvl="8">
      <w:start w:val="1"/>
      <w:numFmt w:val="decimal"/>
      <w:lvlText w:val="%9)"/>
      <w:lvlJc w:val="left"/>
      <w:pPr>
        <w:ind w:left="3240" w:hanging="360"/>
      </w:pPr>
      <w:rPr>
        <w:smallCaps w:val="0"/>
        <w:strike w:val="0"/>
        <w:shd w:val="clear" w:color="auto" w:fill="auto"/>
        <w:vertAlign w:val="baseline"/>
      </w:rPr>
    </w:lvl>
  </w:abstractNum>
  <w:abstractNum w:abstractNumId="19" w15:restartNumberingAfterBreak="0">
    <w:nsid w:val="2DD92C37"/>
    <w:multiLevelType w:val="hybridMultilevel"/>
    <w:tmpl w:val="7C287126"/>
    <w:lvl w:ilvl="0" w:tplc="9902661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15:restartNumberingAfterBreak="0">
    <w:nsid w:val="30254169"/>
    <w:multiLevelType w:val="hybridMultilevel"/>
    <w:tmpl w:val="55C4B324"/>
    <w:lvl w:ilvl="0" w:tplc="878C9D4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15:restartNumberingAfterBreak="0">
    <w:nsid w:val="30347B17"/>
    <w:multiLevelType w:val="hybridMultilevel"/>
    <w:tmpl w:val="ADE8226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31B82EFB"/>
    <w:multiLevelType w:val="hybridMultilevel"/>
    <w:tmpl w:val="11205156"/>
    <w:lvl w:ilvl="0" w:tplc="46BE756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15:restartNumberingAfterBreak="0">
    <w:nsid w:val="36453DEF"/>
    <w:multiLevelType w:val="hybridMultilevel"/>
    <w:tmpl w:val="C7D0232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3686656D"/>
    <w:multiLevelType w:val="hybridMultilevel"/>
    <w:tmpl w:val="65EEB73A"/>
    <w:numStyleLink w:val="a"/>
  </w:abstractNum>
  <w:abstractNum w:abstractNumId="25" w15:restartNumberingAfterBreak="0">
    <w:nsid w:val="3B085EAE"/>
    <w:multiLevelType w:val="hybridMultilevel"/>
    <w:tmpl w:val="71D6BC0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3D216AF3"/>
    <w:multiLevelType w:val="hybridMultilevel"/>
    <w:tmpl w:val="62748B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3E4466B4"/>
    <w:multiLevelType w:val="hybridMultilevel"/>
    <w:tmpl w:val="A074EF3A"/>
    <w:lvl w:ilvl="0" w:tplc="08365FD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8" w15:restartNumberingAfterBreak="0">
    <w:nsid w:val="3EFA3C73"/>
    <w:multiLevelType w:val="hybridMultilevel"/>
    <w:tmpl w:val="79423DA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9" w15:restartNumberingAfterBreak="0">
    <w:nsid w:val="421E4A8B"/>
    <w:multiLevelType w:val="hybridMultilevel"/>
    <w:tmpl w:val="162AA6C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0" w15:restartNumberingAfterBreak="0">
    <w:nsid w:val="468E7589"/>
    <w:multiLevelType w:val="hybridMultilevel"/>
    <w:tmpl w:val="C9541108"/>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1" w15:restartNumberingAfterBreak="0">
    <w:nsid w:val="47704F20"/>
    <w:multiLevelType w:val="hybridMultilevel"/>
    <w:tmpl w:val="77BAB80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47CE5ECD"/>
    <w:multiLevelType w:val="hybridMultilevel"/>
    <w:tmpl w:val="50A2B06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48B63CFF"/>
    <w:multiLevelType w:val="hybridMultilevel"/>
    <w:tmpl w:val="82E057A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4B891254"/>
    <w:multiLevelType w:val="hybridMultilevel"/>
    <w:tmpl w:val="B15EF0E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5" w15:restartNumberingAfterBreak="0">
    <w:nsid w:val="4CC85EBB"/>
    <w:multiLevelType w:val="hybridMultilevel"/>
    <w:tmpl w:val="85B2704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4CF06176"/>
    <w:multiLevelType w:val="hybridMultilevel"/>
    <w:tmpl w:val="5CB4E0D2"/>
    <w:lvl w:ilvl="0" w:tplc="2B2226A2">
      <w:start w:val="1"/>
      <w:numFmt w:val="decimal"/>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52625170"/>
    <w:multiLevelType w:val="hybridMultilevel"/>
    <w:tmpl w:val="F32EC670"/>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38" w15:restartNumberingAfterBreak="0">
    <w:nsid w:val="542F6506"/>
    <w:multiLevelType w:val="hybridMultilevel"/>
    <w:tmpl w:val="0FE2CBE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55753DD0"/>
    <w:multiLevelType w:val="hybridMultilevel"/>
    <w:tmpl w:val="320C691A"/>
    <w:lvl w:ilvl="0" w:tplc="9F10D348">
      <w:start w:val="1"/>
      <w:numFmt w:val="decimal"/>
      <w:lvlText w:val="%1."/>
      <w:lvlJc w:val="left"/>
      <w:pPr>
        <w:ind w:left="927"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40" w15:restartNumberingAfterBreak="0">
    <w:nsid w:val="55BF376F"/>
    <w:multiLevelType w:val="hybridMultilevel"/>
    <w:tmpl w:val="D1FA0A7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1" w15:restartNumberingAfterBreak="0">
    <w:nsid w:val="57EE15A7"/>
    <w:multiLevelType w:val="hybridMultilevel"/>
    <w:tmpl w:val="3F16C0D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15:restartNumberingAfterBreak="0">
    <w:nsid w:val="58B96B83"/>
    <w:multiLevelType w:val="hybridMultilevel"/>
    <w:tmpl w:val="B67AE460"/>
    <w:lvl w:ilvl="0" w:tplc="0419000F">
      <w:start w:val="1"/>
      <w:numFmt w:val="decimal"/>
      <w:lvlText w:val="%1."/>
      <w:lvlJc w:val="left"/>
      <w:pPr>
        <w:ind w:left="928" w:hanging="360"/>
      </w:p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43" w15:restartNumberingAfterBreak="0">
    <w:nsid w:val="59CC2243"/>
    <w:multiLevelType w:val="hybridMultilevel"/>
    <w:tmpl w:val="5B92467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4" w15:restartNumberingAfterBreak="0">
    <w:nsid w:val="5BEE72E2"/>
    <w:multiLevelType w:val="hybridMultilevel"/>
    <w:tmpl w:val="4A809544"/>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45" w15:restartNumberingAfterBreak="0">
    <w:nsid w:val="5D2C352D"/>
    <w:multiLevelType w:val="hybridMultilevel"/>
    <w:tmpl w:val="838AD9BE"/>
    <w:lvl w:ilvl="0" w:tplc="D50E1DA8">
      <w:start w:val="1"/>
      <w:numFmt w:val="decimal"/>
      <w:lvlText w:val="%1."/>
      <w:lvlJc w:val="left"/>
      <w:pPr>
        <w:ind w:left="1066" w:hanging="240"/>
      </w:pPr>
      <w:rPr>
        <w:rFonts w:ascii="Times New Roman" w:eastAsia="Times New Roman" w:hAnsi="Times New Roman" w:cs="Times New Roman" w:hint="default"/>
        <w:spacing w:val="-3"/>
        <w:w w:val="100"/>
        <w:sz w:val="24"/>
        <w:szCs w:val="24"/>
        <w:lang w:val="ru-RU" w:eastAsia="ru-RU" w:bidi="ru-RU"/>
      </w:rPr>
    </w:lvl>
    <w:lvl w:ilvl="1" w:tplc="FABC8BB2">
      <w:numFmt w:val="bullet"/>
      <w:lvlText w:val="•"/>
      <w:lvlJc w:val="left"/>
      <w:pPr>
        <w:ind w:left="1940" w:hanging="240"/>
      </w:pPr>
      <w:rPr>
        <w:lang w:val="ru-RU" w:eastAsia="ru-RU" w:bidi="ru-RU"/>
      </w:rPr>
    </w:lvl>
    <w:lvl w:ilvl="2" w:tplc="A5F2BC28">
      <w:numFmt w:val="bullet"/>
      <w:lvlText w:val="•"/>
      <w:lvlJc w:val="left"/>
      <w:pPr>
        <w:ind w:left="2820" w:hanging="240"/>
      </w:pPr>
      <w:rPr>
        <w:lang w:val="ru-RU" w:eastAsia="ru-RU" w:bidi="ru-RU"/>
      </w:rPr>
    </w:lvl>
    <w:lvl w:ilvl="3" w:tplc="BC30239A">
      <w:numFmt w:val="bullet"/>
      <w:lvlText w:val="•"/>
      <w:lvlJc w:val="left"/>
      <w:pPr>
        <w:ind w:left="3700" w:hanging="240"/>
      </w:pPr>
      <w:rPr>
        <w:lang w:val="ru-RU" w:eastAsia="ru-RU" w:bidi="ru-RU"/>
      </w:rPr>
    </w:lvl>
    <w:lvl w:ilvl="4" w:tplc="1A56B118">
      <w:numFmt w:val="bullet"/>
      <w:lvlText w:val="•"/>
      <w:lvlJc w:val="left"/>
      <w:pPr>
        <w:ind w:left="4580" w:hanging="240"/>
      </w:pPr>
      <w:rPr>
        <w:lang w:val="ru-RU" w:eastAsia="ru-RU" w:bidi="ru-RU"/>
      </w:rPr>
    </w:lvl>
    <w:lvl w:ilvl="5" w:tplc="65FCE8CA">
      <w:numFmt w:val="bullet"/>
      <w:lvlText w:val="•"/>
      <w:lvlJc w:val="left"/>
      <w:pPr>
        <w:ind w:left="5460" w:hanging="240"/>
      </w:pPr>
      <w:rPr>
        <w:lang w:val="ru-RU" w:eastAsia="ru-RU" w:bidi="ru-RU"/>
      </w:rPr>
    </w:lvl>
    <w:lvl w:ilvl="6" w:tplc="2A648FC0">
      <w:numFmt w:val="bullet"/>
      <w:lvlText w:val="•"/>
      <w:lvlJc w:val="left"/>
      <w:pPr>
        <w:ind w:left="6340" w:hanging="240"/>
      </w:pPr>
      <w:rPr>
        <w:lang w:val="ru-RU" w:eastAsia="ru-RU" w:bidi="ru-RU"/>
      </w:rPr>
    </w:lvl>
    <w:lvl w:ilvl="7" w:tplc="36D4BAB8">
      <w:numFmt w:val="bullet"/>
      <w:lvlText w:val="•"/>
      <w:lvlJc w:val="left"/>
      <w:pPr>
        <w:ind w:left="7220" w:hanging="240"/>
      </w:pPr>
      <w:rPr>
        <w:lang w:val="ru-RU" w:eastAsia="ru-RU" w:bidi="ru-RU"/>
      </w:rPr>
    </w:lvl>
    <w:lvl w:ilvl="8" w:tplc="B22CCFE6">
      <w:numFmt w:val="bullet"/>
      <w:lvlText w:val="•"/>
      <w:lvlJc w:val="left"/>
      <w:pPr>
        <w:ind w:left="8100" w:hanging="240"/>
      </w:pPr>
      <w:rPr>
        <w:lang w:val="ru-RU" w:eastAsia="ru-RU" w:bidi="ru-RU"/>
      </w:rPr>
    </w:lvl>
  </w:abstractNum>
  <w:abstractNum w:abstractNumId="46" w15:restartNumberingAfterBreak="0">
    <w:nsid w:val="637F51FB"/>
    <w:multiLevelType w:val="multilevel"/>
    <w:tmpl w:val="BEB23D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65BB0F61"/>
    <w:multiLevelType w:val="hybridMultilevel"/>
    <w:tmpl w:val="A956F8E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15:restartNumberingAfterBreak="0">
    <w:nsid w:val="68E56EC2"/>
    <w:multiLevelType w:val="multilevel"/>
    <w:tmpl w:val="85C414D6"/>
    <w:lvl w:ilvl="0">
      <w:start w:val="1"/>
      <w:numFmt w:val="decimal"/>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6B043F4A"/>
    <w:multiLevelType w:val="hybridMultilevel"/>
    <w:tmpl w:val="792ABB3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 w15:restartNumberingAfterBreak="0">
    <w:nsid w:val="6E6440BD"/>
    <w:multiLevelType w:val="hybridMultilevel"/>
    <w:tmpl w:val="B8C033F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1" w15:restartNumberingAfterBreak="0">
    <w:nsid w:val="702F197B"/>
    <w:multiLevelType w:val="hybridMultilevel"/>
    <w:tmpl w:val="65EEB73A"/>
    <w:styleLink w:val="a"/>
    <w:lvl w:ilvl="0" w:tplc="A24A6236">
      <w:start w:val="1"/>
      <w:numFmt w:val="decimal"/>
      <w:lvlText w:val="%1."/>
      <w:lvlJc w:val="left"/>
      <w:pPr>
        <w:tabs>
          <w:tab w:val="num" w:pos="1167"/>
        </w:tabs>
        <w:ind w:left="458" w:firstLine="250"/>
      </w:pPr>
      <w:rPr>
        <w:rFonts w:hAnsi="Arial Unicode MS"/>
        <w:caps w:val="0"/>
        <w:smallCaps w:val="0"/>
        <w:strike w:val="0"/>
        <w:dstrike w:val="0"/>
        <w:outline w:val="0"/>
        <w:emboss w:val="0"/>
        <w:imprint w:val="0"/>
        <w:spacing w:val="0"/>
        <w:w w:val="100"/>
        <w:kern w:val="0"/>
        <w:position w:val="0"/>
        <w:highlight w:val="none"/>
        <w:vertAlign w:val="baseline"/>
      </w:rPr>
    </w:lvl>
    <w:lvl w:ilvl="1" w:tplc="2416D804">
      <w:start w:val="1"/>
      <w:numFmt w:val="decimal"/>
      <w:lvlText w:val="%2."/>
      <w:lvlJc w:val="left"/>
      <w:pPr>
        <w:tabs>
          <w:tab w:val="num" w:pos="1527"/>
        </w:tabs>
        <w:ind w:left="818" w:firstLine="250"/>
      </w:pPr>
      <w:rPr>
        <w:rFonts w:hAnsi="Arial Unicode MS"/>
        <w:caps w:val="0"/>
        <w:smallCaps w:val="0"/>
        <w:strike w:val="0"/>
        <w:dstrike w:val="0"/>
        <w:outline w:val="0"/>
        <w:emboss w:val="0"/>
        <w:imprint w:val="0"/>
        <w:spacing w:val="0"/>
        <w:w w:val="100"/>
        <w:kern w:val="0"/>
        <w:position w:val="0"/>
        <w:highlight w:val="none"/>
        <w:vertAlign w:val="baseline"/>
      </w:rPr>
    </w:lvl>
    <w:lvl w:ilvl="2" w:tplc="89D67070">
      <w:start w:val="1"/>
      <w:numFmt w:val="decimal"/>
      <w:lvlText w:val="%3."/>
      <w:lvlJc w:val="left"/>
      <w:pPr>
        <w:tabs>
          <w:tab w:val="num" w:pos="1887"/>
        </w:tabs>
        <w:ind w:left="1178" w:firstLine="250"/>
      </w:pPr>
      <w:rPr>
        <w:rFonts w:hAnsi="Arial Unicode MS"/>
        <w:caps w:val="0"/>
        <w:smallCaps w:val="0"/>
        <w:strike w:val="0"/>
        <w:dstrike w:val="0"/>
        <w:outline w:val="0"/>
        <w:emboss w:val="0"/>
        <w:imprint w:val="0"/>
        <w:spacing w:val="0"/>
        <w:w w:val="100"/>
        <w:kern w:val="0"/>
        <w:position w:val="0"/>
        <w:highlight w:val="none"/>
        <w:vertAlign w:val="baseline"/>
      </w:rPr>
    </w:lvl>
    <w:lvl w:ilvl="3" w:tplc="10DE57A8">
      <w:start w:val="1"/>
      <w:numFmt w:val="decimal"/>
      <w:lvlText w:val="%4."/>
      <w:lvlJc w:val="left"/>
      <w:pPr>
        <w:tabs>
          <w:tab w:val="num" w:pos="2247"/>
        </w:tabs>
        <w:ind w:left="1538" w:firstLine="250"/>
      </w:pPr>
      <w:rPr>
        <w:rFonts w:hAnsi="Arial Unicode MS"/>
        <w:caps w:val="0"/>
        <w:smallCaps w:val="0"/>
        <w:strike w:val="0"/>
        <w:dstrike w:val="0"/>
        <w:outline w:val="0"/>
        <w:emboss w:val="0"/>
        <w:imprint w:val="0"/>
        <w:spacing w:val="0"/>
        <w:w w:val="100"/>
        <w:kern w:val="0"/>
        <w:position w:val="0"/>
        <w:highlight w:val="none"/>
        <w:vertAlign w:val="baseline"/>
      </w:rPr>
    </w:lvl>
    <w:lvl w:ilvl="4" w:tplc="28802B2A">
      <w:start w:val="1"/>
      <w:numFmt w:val="decimal"/>
      <w:lvlText w:val="%5."/>
      <w:lvlJc w:val="left"/>
      <w:pPr>
        <w:tabs>
          <w:tab w:val="num" w:pos="2607"/>
        </w:tabs>
        <w:ind w:left="1898" w:firstLine="250"/>
      </w:pPr>
      <w:rPr>
        <w:rFonts w:hAnsi="Arial Unicode MS"/>
        <w:caps w:val="0"/>
        <w:smallCaps w:val="0"/>
        <w:strike w:val="0"/>
        <w:dstrike w:val="0"/>
        <w:outline w:val="0"/>
        <w:emboss w:val="0"/>
        <w:imprint w:val="0"/>
        <w:spacing w:val="0"/>
        <w:w w:val="100"/>
        <w:kern w:val="0"/>
        <w:position w:val="0"/>
        <w:highlight w:val="none"/>
        <w:vertAlign w:val="baseline"/>
      </w:rPr>
    </w:lvl>
    <w:lvl w:ilvl="5" w:tplc="3424B0D6">
      <w:start w:val="1"/>
      <w:numFmt w:val="decimal"/>
      <w:lvlText w:val="%6."/>
      <w:lvlJc w:val="left"/>
      <w:pPr>
        <w:tabs>
          <w:tab w:val="num" w:pos="2967"/>
        </w:tabs>
        <w:ind w:left="2258" w:firstLine="250"/>
      </w:pPr>
      <w:rPr>
        <w:rFonts w:hAnsi="Arial Unicode MS"/>
        <w:caps w:val="0"/>
        <w:smallCaps w:val="0"/>
        <w:strike w:val="0"/>
        <w:dstrike w:val="0"/>
        <w:outline w:val="0"/>
        <w:emboss w:val="0"/>
        <w:imprint w:val="0"/>
        <w:spacing w:val="0"/>
        <w:w w:val="100"/>
        <w:kern w:val="0"/>
        <w:position w:val="0"/>
        <w:highlight w:val="none"/>
        <w:vertAlign w:val="baseline"/>
      </w:rPr>
    </w:lvl>
    <w:lvl w:ilvl="6" w:tplc="901C1468">
      <w:start w:val="1"/>
      <w:numFmt w:val="decimal"/>
      <w:lvlText w:val="%7."/>
      <w:lvlJc w:val="left"/>
      <w:pPr>
        <w:tabs>
          <w:tab w:val="num" w:pos="3327"/>
        </w:tabs>
        <w:ind w:left="2618" w:firstLine="250"/>
      </w:pPr>
      <w:rPr>
        <w:rFonts w:hAnsi="Arial Unicode MS"/>
        <w:caps w:val="0"/>
        <w:smallCaps w:val="0"/>
        <w:strike w:val="0"/>
        <w:dstrike w:val="0"/>
        <w:outline w:val="0"/>
        <w:emboss w:val="0"/>
        <w:imprint w:val="0"/>
        <w:spacing w:val="0"/>
        <w:w w:val="100"/>
        <w:kern w:val="0"/>
        <w:position w:val="0"/>
        <w:highlight w:val="none"/>
        <w:vertAlign w:val="baseline"/>
      </w:rPr>
    </w:lvl>
    <w:lvl w:ilvl="7" w:tplc="52A2A2E4">
      <w:start w:val="1"/>
      <w:numFmt w:val="decimal"/>
      <w:lvlText w:val="%8."/>
      <w:lvlJc w:val="left"/>
      <w:pPr>
        <w:tabs>
          <w:tab w:val="num" w:pos="3687"/>
        </w:tabs>
        <w:ind w:left="2978" w:firstLine="250"/>
      </w:pPr>
      <w:rPr>
        <w:rFonts w:hAnsi="Arial Unicode MS"/>
        <w:caps w:val="0"/>
        <w:smallCaps w:val="0"/>
        <w:strike w:val="0"/>
        <w:dstrike w:val="0"/>
        <w:outline w:val="0"/>
        <w:emboss w:val="0"/>
        <w:imprint w:val="0"/>
        <w:spacing w:val="0"/>
        <w:w w:val="100"/>
        <w:kern w:val="0"/>
        <w:position w:val="0"/>
        <w:highlight w:val="none"/>
        <w:vertAlign w:val="baseline"/>
      </w:rPr>
    </w:lvl>
    <w:lvl w:ilvl="8" w:tplc="88D83D90">
      <w:start w:val="1"/>
      <w:numFmt w:val="decimal"/>
      <w:lvlText w:val="%9."/>
      <w:lvlJc w:val="left"/>
      <w:pPr>
        <w:tabs>
          <w:tab w:val="num" w:pos="4047"/>
        </w:tabs>
        <w:ind w:left="3338" w:firstLine="25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52" w15:restartNumberingAfterBreak="0">
    <w:nsid w:val="704E3F12"/>
    <w:multiLevelType w:val="multilevel"/>
    <w:tmpl w:val="BBBA64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15:restartNumberingAfterBreak="0">
    <w:nsid w:val="71452F62"/>
    <w:multiLevelType w:val="hybridMultilevel"/>
    <w:tmpl w:val="4188855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4" w15:restartNumberingAfterBreak="0">
    <w:nsid w:val="76E3251C"/>
    <w:multiLevelType w:val="hybridMultilevel"/>
    <w:tmpl w:val="DC8467B8"/>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55" w15:restartNumberingAfterBreak="0">
    <w:nsid w:val="7870205D"/>
    <w:multiLevelType w:val="hybridMultilevel"/>
    <w:tmpl w:val="7B805CE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6" w15:restartNumberingAfterBreak="0">
    <w:nsid w:val="79CF5E11"/>
    <w:multiLevelType w:val="hybridMultilevel"/>
    <w:tmpl w:val="B680F1A6"/>
    <w:lvl w:ilvl="0" w:tplc="9230BEA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7" w15:restartNumberingAfterBreak="0">
    <w:nsid w:val="7C9D5D4B"/>
    <w:multiLevelType w:val="hybridMultilevel"/>
    <w:tmpl w:val="9646676E"/>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58" w15:restartNumberingAfterBreak="0">
    <w:nsid w:val="7ED7410D"/>
    <w:multiLevelType w:val="hybridMultilevel"/>
    <w:tmpl w:val="271A5F7E"/>
    <w:lvl w:ilvl="0" w:tplc="E5E4DA98">
      <w:start w:val="1"/>
      <w:numFmt w:val="decimal"/>
      <w:lvlText w:val="%1."/>
      <w:lvlJc w:val="left"/>
      <w:pPr>
        <w:ind w:left="928" w:hanging="360"/>
      </w:pPr>
      <w:rPr>
        <w:rFonts w:ascii="Times New Roman" w:eastAsiaTheme="minorHAnsi" w:hAnsi="Times New Roman" w:cs="Times New Roman"/>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num w:numId="1">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1"/>
  </w:num>
  <w:num w:numId="4">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9"/>
  </w:num>
  <w:num w:numId="6">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1"/>
    <w:lvlOverride w:ilvl="0">
      <w:startOverride w:val="1"/>
    </w:lvlOverride>
    <w:lvlOverride w:ilvl="1"/>
    <w:lvlOverride w:ilvl="2"/>
    <w:lvlOverride w:ilvl="3"/>
    <w:lvlOverride w:ilvl="4"/>
    <w:lvlOverride w:ilvl="5"/>
    <w:lvlOverride w:ilvl="6"/>
    <w:lvlOverride w:ilvl="7"/>
    <w:lvlOverride w:ilvl="8"/>
  </w:num>
  <w:num w:numId="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45"/>
    <w:lvlOverride w:ilvl="0">
      <w:startOverride w:val="1"/>
    </w:lvlOverride>
    <w:lvlOverride w:ilvl="1"/>
    <w:lvlOverride w:ilvl="2"/>
    <w:lvlOverride w:ilvl="3"/>
    <w:lvlOverride w:ilvl="4"/>
    <w:lvlOverride w:ilvl="5"/>
    <w:lvlOverride w:ilvl="6"/>
    <w:lvlOverride w:ilvl="7"/>
    <w:lvlOverride w:ilvl="8"/>
  </w:num>
  <w:num w:numId="26">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55"/>
  </w:num>
  <w:num w:numId="32">
    <w:abstractNumId w:val="5"/>
  </w:num>
  <w:num w:numId="33">
    <w:abstractNumId w:val="6"/>
  </w:num>
  <w:num w:numId="34">
    <w:abstractNumId w:val="41"/>
  </w:num>
  <w:num w:numId="35">
    <w:abstractNumId w:val="9"/>
  </w:num>
  <w:num w:numId="36">
    <w:abstractNumId w:val="53"/>
  </w:num>
  <w:num w:numId="37">
    <w:abstractNumId w:val="50"/>
  </w:num>
  <w:num w:numId="3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3"/>
    <w:lvlOverride w:ilvl="0"/>
    <w:lvlOverride w:ilvl="1">
      <w:startOverride w:val="1"/>
    </w:lvlOverride>
    <w:lvlOverride w:ilvl="2"/>
    <w:lvlOverride w:ilvl="3"/>
    <w:lvlOverride w:ilvl="4"/>
    <w:lvlOverride w:ilvl="5"/>
    <w:lvlOverride w:ilvl="6"/>
    <w:lvlOverride w:ilvl="7"/>
    <w:lvlOverride w:ilvl="8"/>
  </w:num>
  <w:num w:numId="43">
    <w:abstractNumId w:val="46"/>
  </w:num>
  <w:num w:numId="4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48"/>
    <w:lvlOverride w:ilvl="0">
      <w:startOverride w:val="1"/>
    </w:lvlOverride>
    <w:lvlOverride w:ilvl="1"/>
    <w:lvlOverride w:ilvl="2"/>
    <w:lvlOverride w:ilvl="3"/>
    <w:lvlOverride w:ilvl="4"/>
    <w:lvlOverride w:ilvl="5"/>
    <w:lvlOverride w:ilvl="6"/>
    <w:lvlOverride w:ilvl="7"/>
    <w:lvlOverride w:ilvl="8"/>
  </w:num>
  <w:num w:numId="53">
    <w:abstractNumId w:val="8"/>
  </w:num>
  <w:num w:numId="54">
    <w:abstractNumId w:val="52"/>
  </w:num>
  <w:num w:numId="5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4"/>
  </w:num>
  <w:num w:numId="59">
    <w:abstractNumId w:val="57"/>
  </w:num>
  <w:num w:numId="60">
    <w:abstractNumId w:val="54"/>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1"/>
  <w:defaultTabStop w:val="709"/>
  <w:characterSpacingControl w:val="doNotCompress"/>
  <w:hdrShapeDefaults>
    <o:shapedefaults v:ext="edit" spidmax="2049"/>
  </w:hdrShapeDefault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5869"/>
    <w:rsid w:val="00032698"/>
    <w:rsid w:val="000403EE"/>
    <w:rsid w:val="00040DF5"/>
    <w:rsid w:val="000806D3"/>
    <w:rsid w:val="00085052"/>
    <w:rsid w:val="000873B8"/>
    <w:rsid w:val="00120A43"/>
    <w:rsid w:val="001746CB"/>
    <w:rsid w:val="00175390"/>
    <w:rsid w:val="001861AF"/>
    <w:rsid w:val="00195DF1"/>
    <w:rsid w:val="001A58A2"/>
    <w:rsid w:val="001B0AD8"/>
    <w:rsid w:val="001B6C3B"/>
    <w:rsid w:val="00296273"/>
    <w:rsid w:val="002B2190"/>
    <w:rsid w:val="002B2479"/>
    <w:rsid w:val="002B60D2"/>
    <w:rsid w:val="002D3BC6"/>
    <w:rsid w:val="002F0E8C"/>
    <w:rsid w:val="002F2C96"/>
    <w:rsid w:val="0031007C"/>
    <w:rsid w:val="0037071E"/>
    <w:rsid w:val="00371716"/>
    <w:rsid w:val="00401387"/>
    <w:rsid w:val="004019C3"/>
    <w:rsid w:val="004308AE"/>
    <w:rsid w:val="00430C1C"/>
    <w:rsid w:val="00431496"/>
    <w:rsid w:val="004328B2"/>
    <w:rsid w:val="00457499"/>
    <w:rsid w:val="00460526"/>
    <w:rsid w:val="00483128"/>
    <w:rsid w:val="004C6D24"/>
    <w:rsid w:val="004E6A89"/>
    <w:rsid w:val="004E70E4"/>
    <w:rsid w:val="0051775D"/>
    <w:rsid w:val="00527D3E"/>
    <w:rsid w:val="00575A86"/>
    <w:rsid w:val="005A2B3B"/>
    <w:rsid w:val="005F4BBE"/>
    <w:rsid w:val="0065131F"/>
    <w:rsid w:val="00657696"/>
    <w:rsid w:val="006D3A58"/>
    <w:rsid w:val="0074411C"/>
    <w:rsid w:val="00754C8B"/>
    <w:rsid w:val="007572E9"/>
    <w:rsid w:val="00770A83"/>
    <w:rsid w:val="007C0777"/>
    <w:rsid w:val="007D2D1D"/>
    <w:rsid w:val="007D574D"/>
    <w:rsid w:val="007D7DBB"/>
    <w:rsid w:val="007F4E88"/>
    <w:rsid w:val="008007B5"/>
    <w:rsid w:val="0081065F"/>
    <w:rsid w:val="00827425"/>
    <w:rsid w:val="008416F8"/>
    <w:rsid w:val="008807EF"/>
    <w:rsid w:val="00881113"/>
    <w:rsid w:val="008A73CF"/>
    <w:rsid w:val="008F0CCE"/>
    <w:rsid w:val="008F69BA"/>
    <w:rsid w:val="00922F02"/>
    <w:rsid w:val="00923A75"/>
    <w:rsid w:val="009B4981"/>
    <w:rsid w:val="00A15DEC"/>
    <w:rsid w:val="00A17894"/>
    <w:rsid w:val="00A24EF0"/>
    <w:rsid w:val="00A832DA"/>
    <w:rsid w:val="00AA3758"/>
    <w:rsid w:val="00AE7F4C"/>
    <w:rsid w:val="00B14499"/>
    <w:rsid w:val="00B66842"/>
    <w:rsid w:val="00B837B0"/>
    <w:rsid w:val="00B92FFD"/>
    <w:rsid w:val="00BC3F7A"/>
    <w:rsid w:val="00C35869"/>
    <w:rsid w:val="00C432AB"/>
    <w:rsid w:val="00C446B3"/>
    <w:rsid w:val="00C614DC"/>
    <w:rsid w:val="00C62E61"/>
    <w:rsid w:val="00C87023"/>
    <w:rsid w:val="00C9171B"/>
    <w:rsid w:val="00CA2B34"/>
    <w:rsid w:val="00CD7220"/>
    <w:rsid w:val="00CE3DE8"/>
    <w:rsid w:val="00D16144"/>
    <w:rsid w:val="00D23E5C"/>
    <w:rsid w:val="00D33A7C"/>
    <w:rsid w:val="00D85D64"/>
    <w:rsid w:val="00DB36FA"/>
    <w:rsid w:val="00DD44D2"/>
    <w:rsid w:val="00DE0826"/>
    <w:rsid w:val="00E3198A"/>
    <w:rsid w:val="00E34663"/>
    <w:rsid w:val="00E63F4D"/>
    <w:rsid w:val="00E91627"/>
    <w:rsid w:val="00EA387B"/>
    <w:rsid w:val="00EE7838"/>
    <w:rsid w:val="00F00346"/>
    <w:rsid w:val="00F01227"/>
    <w:rsid w:val="00F734BA"/>
    <w:rsid w:val="00F73B30"/>
    <w:rsid w:val="00FA4B2A"/>
    <w:rsid w:val="00FD5ABB"/>
    <w:rsid w:val="00FF18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C69C873"/>
  <w15:chartTrackingRefBased/>
  <w15:docId w15:val="{F559DA61-D6D6-4C99-9B27-8803AAC8C1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0">
    <w:name w:val="Normal"/>
    <w:qFormat/>
  </w:style>
  <w:style w:type="paragraph" w:styleId="1">
    <w:name w:val="heading 1"/>
    <w:basedOn w:val="a0"/>
    <w:next w:val="a0"/>
    <w:link w:val="10"/>
    <w:uiPriority w:val="9"/>
    <w:qFormat/>
    <w:rsid w:val="0081065F"/>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2">
    <w:name w:val="heading 2"/>
    <w:basedOn w:val="a0"/>
    <w:link w:val="20"/>
    <w:uiPriority w:val="9"/>
    <w:qFormat/>
    <w:rsid w:val="00D16144"/>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List Paragraph"/>
    <w:basedOn w:val="a0"/>
    <w:uiPriority w:val="34"/>
    <w:qFormat/>
    <w:rsid w:val="00D16144"/>
    <w:pPr>
      <w:spacing w:after="200" w:line="276" w:lineRule="auto"/>
      <w:ind w:left="720"/>
      <w:contextualSpacing/>
    </w:pPr>
  </w:style>
  <w:style w:type="paragraph" w:styleId="a5">
    <w:name w:val="footnote text"/>
    <w:aliases w:val="Текст сноски Знак Знак,Текст сноски Знак Знак Знак Знак Знак Знак,Текст сноски Знак Знак Знак Знак Знак Знак Знак Знак Знак,Текст сноски Знак Знак Знак Знак Знак Знак Знак,Текст сноски Знак Знак Знак Знак,Текст сноски Знак Знак Знак,-++"/>
    <w:basedOn w:val="a0"/>
    <w:link w:val="a6"/>
    <w:uiPriority w:val="99"/>
    <w:unhideWhenUsed/>
    <w:qFormat/>
    <w:rsid w:val="00D16144"/>
    <w:pPr>
      <w:spacing w:after="0" w:line="240" w:lineRule="auto"/>
    </w:pPr>
    <w:rPr>
      <w:sz w:val="20"/>
      <w:szCs w:val="20"/>
    </w:rPr>
  </w:style>
  <w:style w:type="character" w:customStyle="1" w:styleId="a6">
    <w:name w:val="Текст сноски Знак"/>
    <w:aliases w:val="Текст сноски Знак Знак Знак1,Текст сноски Знак Знак Знак Знак Знак Знак Знак1,Текст сноски Знак Знак Знак Знак Знак Знак Знак Знак Знак Знак,Текст сноски Знак Знак Знак Знак Знак Знак Знак Знак,Текст сноски Знак Знак Знак Знак Знак"/>
    <w:basedOn w:val="a1"/>
    <w:link w:val="a5"/>
    <w:uiPriority w:val="99"/>
    <w:rsid w:val="00D16144"/>
    <w:rPr>
      <w:sz w:val="20"/>
      <w:szCs w:val="20"/>
    </w:rPr>
  </w:style>
  <w:style w:type="character" w:styleId="a7">
    <w:name w:val="footnote reference"/>
    <w:basedOn w:val="a1"/>
    <w:uiPriority w:val="99"/>
    <w:unhideWhenUsed/>
    <w:rsid w:val="00D16144"/>
    <w:rPr>
      <w:vertAlign w:val="superscript"/>
    </w:rPr>
  </w:style>
  <w:style w:type="paragraph" w:styleId="a8">
    <w:name w:val="No Spacing"/>
    <w:uiPriority w:val="1"/>
    <w:qFormat/>
    <w:rsid w:val="00D16144"/>
    <w:pPr>
      <w:spacing w:after="0" w:line="240" w:lineRule="auto"/>
    </w:pPr>
    <w:rPr>
      <w:rFonts w:eastAsiaTheme="minorEastAsia"/>
      <w:lang w:eastAsia="ru-RU"/>
    </w:rPr>
  </w:style>
  <w:style w:type="paragraph" w:customStyle="1" w:styleId="ConsPlusNormal">
    <w:name w:val="ConsPlusNormal"/>
    <w:qFormat/>
    <w:rsid w:val="00D16144"/>
    <w:pPr>
      <w:autoSpaceDE w:val="0"/>
      <w:autoSpaceDN w:val="0"/>
      <w:adjustRightInd w:val="0"/>
      <w:spacing w:after="0" w:line="240" w:lineRule="auto"/>
    </w:pPr>
    <w:rPr>
      <w:rFonts w:ascii="Times New Roman" w:eastAsia="Calibri" w:hAnsi="Times New Roman" w:cs="Times New Roman"/>
      <w:sz w:val="24"/>
      <w:szCs w:val="24"/>
      <w:lang w:val="en-US" w:eastAsia="ru-RU"/>
    </w:rPr>
  </w:style>
  <w:style w:type="character" w:customStyle="1" w:styleId="20">
    <w:name w:val="Заголовок 2 Знак"/>
    <w:basedOn w:val="a1"/>
    <w:link w:val="2"/>
    <w:uiPriority w:val="9"/>
    <w:rsid w:val="00D16144"/>
    <w:rPr>
      <w:rFonts w:ascii="Times New Roman" w:eastAsia="Times New Roman" w:hAnsi="Times New Roman" w:cs="Times New Roman"/>
      <w:b/>
      <w:bCs/>
      <w:sz w:val="36"/>
      <w:szCs w:val="36"/>
      <w:lang w:eastAsia="ru-RU"/>
    </w:rPr>
  </w:style>
  <w:style w:type="paragraph" w:customStyle="1" w:styleId="Style3">
    <w:name w:val="Style3"/>
    <w:basedOn w:val="a0"/>
    <w:uiPriority w:val="99"/>
    <w:qFormat/>
    <w:rsid w:val="00D16144"/>
    <w:pPr>
      <w:widowControl w:val="0"/>
      <w:autoSpaceDE w:val="0"/>
      <w:autoSpaceDN w:val="0"/>
      <w:adjustRightInd w:val="0"/>
      <w:spacing w:after="0" w:line="238" w:lineRule="exact"/>
      <w:jc w:val="both"/>
    </w:pPr>
    <w:rPr>
      <w:rFonts w:ascii="Times New Roman" w:eastAsia="Times New Roman" w:hAnsi="Times New Roman" w:cs="Times New Roman"/>
      <w:sz w:val="24"/>
      <w:szCs w:val="24"/>
      <w:lang w:eastAsia="ru-RU"/>
    </w:rPr>
  </w:style>
  <w:style w:type="character" w:customStyle="1" w:styleId="FontStyle19">
    <w:name w:val="Font Style19"/>
    <w:uiPriority w:val="99"/>
    <w:rsid w:val="00D16144"/>
    <w:rPr>
      <w:rFonts w:ascii="Times New Roman" w:hAnsi="Times New Roman" w:cs="Times New Roman" w:hint="default"/>
      <w:i/>
      <w:iCs/>
      <w:sz w:val="16"/>
      <w:szCs w:val="16"/>
    </w:rPr>
  </w:style>
  <w:style w:type="character" w:styleId="a9">
    <w:name w:val="Hyperlink"/>
    <w:basedOn w:val="a1"/>
    <w:uiPriority w:val="99"/>
    <w:unhideWhenUsed/>
    <w:rsid w:val="00D16144"/>
    <w:rPr>
      <w:color w:val="0563C1" w:themeColor="hyperlink"/>
      <w:u w:val="single"/>
    </w:rPr>
  </w:style>
  <w:style w:type="paragraph" w:styleId="aa">
    <w:name w:val="Normal (Web)"/>
    <w:basedOn w:val="a0"/>
    <w:uiPriority w:val="99"/>
    <w:unhideWhenUsed/>
    <w:qFormat/>
    <w:rsid w:val="00D1614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b">
    <w:name w:val="Emphasis"/>
    <w:basedOn w:val="a1"/>
    <w:uiPriority w:val="20"/>
    <w:qFormat/>
    <w:rsid w:val="008416F8"/>
    <w:rPr>
      <w:i/>
      <w:iCs/>
    </w:rPr>
  </w:style>
  <w:style w:type="paragraph" w:customStyle="1" w:styleId="Default">
    <w:name w:val="Default"/>
    <w:uiPriority w:val="99"/>
    <w:qFormat/>
    <w:rsid w:val="008416F8"/>
    <w:pPr>
      <w:autoSpaceDE w:val="0"/>
      <w:autoSpaceDN w:val="0"/>
      <w:adjustRightInd w:val="0"/>
      <w:spacing w:after="0" w:line="240" w:lineRule="auto"/>
    </w:pPr>
    <w:rPr>
      <w:rFonts w:ascii="Times New Roman" w:hAnsi="Times New Roman" w:cs="Times New Roman"/>
      <w:color w:val="000000"/>
      <w:sz w:val="24"/>
      <w:szCs w:val="24"/>
    </w:rPr>
  </w:style>
  <w:style w:type="paragraph" w:styleId="HTML">
    <w:name w:val="HTML Preformatted"/>
    <w:basedOn w:val="a0"/>
    <w:link w:val="HTML0"/>
    <w:uiPriority w:val="99"/>
    <w:unhideWhenUsed/>
    <w:rsid w:val="008416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pPr>
    <w:rPr>
      <w:rFonts w:ascii="Courier New" w:eastAsia="Times New Roman" w:hAnsi="Courier New" w:cs="Courier New"/>
      <w:sz w:val="20"/>
      <w:szCs w:val="20"/>
      <w:lang w:eastAsia="ru-RU"/>
    </w:rPr>
  </w:style>
  <w:style w:type="character" w:customStyle="1" w:styleId="HTML0">
    <w:name w:val="Стандартный HTML Знак"/>
    <w:basedOn w:val="a1"/>
    <w:link w:val="HTML"/>
    <w:uiPriority w:val="99"/>
    <w:rsid w:val="008416F8"/>
    <w:rPr>
      <w:rFonts w:ascii="Courier New" w:eastAsia="Times New Roman" w:hAnsi="Courier New" w:cs="Courier New"/>
      <w:sz w:val="20"/>
      <w:szCs w:val="20"/>
      <w:lang w:eastAsia="ru-RU"/>
    </w:rPr>
  </w:style>
  <w:style w:type="character" w:customStyle="1" w:styleId="nobr">
    <w:name w:val="nobr"/>
    <w:basedOn w:val="a1"/>
    <w:rsid w:val="008416F8"/>
  </w:style>
  <w:style w:type="character" w:styleId="ac">
    <w:name w:val="Strong"/>
    <w:basedOn w:val="a1"/>
    <w:uiPriority w:val="22"/>
    <w:qFormat/>
    <w:rsid w:val="008416F8"/>
    <w:rPr>
      <w:b/>
      <w:bCs/>
    </w:rPr>
  </w:style>
  <w:style w:type="character" w:customStyle="1" w:styleId="10">
    <w:name w:val="Заголовок 1 Знак"/>
    <w:basedOn w:val="a1"/>
    <w:link w:val="1"/>
    <w:uiPriority w:val="9"/>
    <w:rsid w:val="0081065F"/>
    <w:rPr>
      <w:rFonts w:asciiTheme="majorHAnsi" w:eastAsiaTheme="majorEastAsia" w:hAnsiTheme="majorHAnsi" w:cstheme="majorBidi"/>
      <w:color w:val="2F5496" w:themeColor="accent1" w:themeShade="BF"/>
      <w:sz w:val="32"/>
      <w:szCs w:val="32"/>
    </w:rPr>
  </w:style>
  <w:style w:type="paragraph" w:customStyle="1" w:styleId="ad">
    <w:basedOn w:val="a0"/>
    <w:next w:val="aa"/>
    <w:uiPriority w:val="99"/>
    <w:unhideWhenUsed/>
    <w:rsid w:val="0081065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styleId="ae">
    <w:name w:val="Title"/>
    <w:basedOn w:val="a0"/>
    <w:next w:val="a0"/>
    <w:link w:val="af"/>
    <w:uiPriority w:val="10"/>
    <w:qFormat/>
    <w:rsid w:val="0081065F"/>
    <w:pPr>
      <w:spacing w:before="240" w:after="60" w:line="276" w:lineRule="auto"/>
      <w:jc w:val="center"/>
      <w:outlineLvl w:val="0"/>
    </w:pPr>
    <w:rPr>
      <w:rFonts w:ascii="Cambria" w:eastAsia="Times New Roman" w:hAnsi="Cambria" w:cs="Times New Roman"/>
      <w:b/>
      <w:bCs/>
      <w:kern w:val="28"/>
      <w:sz w:val="32"/>
      <w:szCs w:val="32"/>
      <w:lang w:eastAsia="ru-RU"/>
    </w:rPr>
  </w:style>
  <w:style w:type="character" w:customStyle="1" w:styleId="af">
    <w:name w:val="Заголовок Знак"/>
    <w:basedOn w:val="a1"/>
    <w:link w:val="ae"/>
    <w:uiPriority w:val="10"/>
    <w:rsid w:val="0081065F"/>
    <w:rPr>
      <w:rFonts w:ascii="Cambria" w:eastAsia="Times New Roman" w:hAnsi="Cambria" w:cs="Times New Roman"/>
      <w:b/>
      <w:bCs/>
      <w:kern w:val="28"/>
      <w:sz w:val="32"/>
      <w:szCs w:val="32"/>
      <w:lang w:eastAsia="ru-RU"/>
    </w:rPr>
  </w:style>
  <w:style w:type="paragraph" w:customStyle="1" w:styleId="af0">
    <w:name w:val="Текстовый блок"/>
    <w:uiPriority w:val="99"/>
    <w:qFormat/>
    <w:rsid w:val="0081065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eastAsia="ru-RU"/>
    </w:rPr>
  </w:style>
  <w:style w:type="paragraph" w:customStyle="1" w:styleId="af1">
    <w:name w:val="Сноска"/>
    <w:uiPriority w:val="99"/>
    <w:qFormat/>
    <w:rsid w:val="0081065F"/>
    <w:pPr>
      <w:pBdr>
        <w:top w:val="nil"/>
        <w:left w:val="nil"/>
        <w:bottom w:val="nil"/>
        <w:right w:val="nil"/>
        <w:between w:val="nil"/>
        <w:bar w:val="nil"/>
      </w:pBdr>
      <w:spacing w:after="0" w:line="240" w:lineRule="auto"/>
    </w:pPr>
    <w:rPr>
      <w:rFonts w:ascii="Helvetica Neue" w:eastAsia="Helvetica Neue" w:hAnsi="Helvetica Neue" w:cs="Helvetica Neue"/>
      <w:color w:val="000000"/>
      <w:bdr w:val="nil"/>
      <w:lang w:eastAsia="ru-RU"/>
    </w:rPr>
  </w:style>
  <w:style w:type="numbering" w:customStyle="1" w:styleId="a">
    <w:name w:val="С числами"/>
    <w:rsid w:val="0081065F"/>
    <w:pPr>
      <w:numPr>
        <w:numId w:val="3"/>
      </w:numPr>
    </w:pPr>
  </w:style>
  <w:style w:type="character" w:customStyle="1" w:styleId="11">
    <w:name w:val="Неразрешенное упоминание1"/>
    <w:basedOn w:val="a1"/>
    <w:uiPriority w:val="99"/>
    <w:semiHidden/>
    <w:unhideWhenUsed/>
    <w:rsid w:val="008F69BA"/>
    <w:rPr>
      <w:color w:val="605E5C"/>
      <w:shd w:val="clear" w:color="auto" w:fill="E1DFDD"/>
    </w:rPr>
  </w:style>
  <w:style w:type="character" w:customStyle="1" w:styleId="12">
    <w:name w:val="Слабое выделение1"/>
    <w:rsid w:val="002B2190"/>
    <w:rPr>
      <w:rFonts w:cs="Times New Roman"/>
      <w:i/>
      <w:iCs/>
      <w:color w:val="808080"/>
    </w:rPr>
  </w:style>
  <w:style w:type="character" w:customStyle="1" w:styleId="shorttext">
    <w:name w:val="short_text"/>
    <w:basedOn w:val="a1"/>
    <w:rsid w:val="00457499"/>
  </w:style>
  <w:style w:type="paragraph" w:customStyle="1" w:styleId="13">
    <w:name w:val="Обычный1"/>
    <w:uiPriority w:val="99"/>
    <w:qFormat/>
    <w:rsid w:val="007F4E88"/>
    <w:pPr>
      <w:spacing w:after="0" w:line="240" w:lineRule="auto"/>
    </w:pPr>
    <w:rPr>
      <w:rFonts w:ascii="Times New Roman" w:eastAsia="Times New Roman" w:hAnsi="Times New Roman" w:cs="Times New Roman"/>
      <w:sz w:val="24"/>
      <w:szCs w:val="24"/>
      <w:lang w:eastAsia="ru-RU"/>
    </w:rPr>
  </w:style>
  <w:style w:type="character" w:styleId="af2">
    <w:name w:val="FollowedHyperlink"/>
    <w:basedOn w:val="a1"/>
    <w:uiPriority w:val="99"/>
    <w:semiHidden/>
    <w:unhideWhenUsed/>
    <w:rsid w:val="001B6C3B"/>
    <w:rPr>
      <w:color w:val="954F72" w:themeColor="followedHyperlink"/>
      <w:u w:val="single"/>
    </w:rPr>
  </w:style>
  <w:style w:type="paragraph" w:customStyle="1" w:styleId="msonormal0">
    <w:name w:val="msonormal"/>
    <w:basedOn w:val="a0"/>
    <w:uiPriority w:val="99"/>
    <w:qFormat/>
    <w:rsid w:val="001B6C3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4">
    <w:name w:val="Текст сноски Знак1"/>
    <w:aliases w:val="Текст сноски Знак Знак Знак2,Текст сноски Знак Знак Знак Знак Знак Знак Знак2,Текст сноски Знак Знак Знак Знак Знак Знак Знак Знак Знак Знак1,Текст сноски Знак Знак Знак Знак Знак Знак Знак Знак1,Текст сноски Знак Знак Знак Знак Знак1"/>
    <w:basedOn w:val="a1"/>
    <w:uiPriority w:val="99"/>
    <w:semiHidden/>
    <w:rsid w:val="001B6C3B"/>
    <w:rPr>
      <w:sz w:val="20"/>
      <w:szCs w:val="20"/>
    </w:rPr>
  </w:style>
  <w:style w:type="paragraph" w:styleId="af3">
    <w:name w:val="Body Text"/>
    <w:basedOn w:val="a0"/>
    <w:link w:val="af4"/>
    <w:uiPriority w:val="1"/>
    <w:semiHidden/>
    <w:unhideWhenUsed/>
    <w:qFormat/>
    <w:rsid w:val="001B6C3B"/>
    <w:pPr>
      <w:widowControl w:val="0"/>
      <w:autoSpaceDE w:val="0"/>
      <w:autoSpaceDN w:val="0"/>
      <w:spacing w:after="0" w:line="240" w:lineRule="auto"/>
    </w:pPr>
    <w:rPr>
      <w:rFonts w:ascii="Times New Roman" w:eastAsia="Times New Roman" w:hAnsi="Times New Roman" w:cs="Times New Roman"/>
      <w:sz w:val="24"/>
      <w:szCs w:val="24"/>
      <w:lang w:eastAsia="ru-RU" w:bidi="ru-RU"/>
    </w:rPr>
  </w:style>
  <w:style w:type="character" w:customStyle="1" w:styleId="af4">
    <w:name w:val="Основной текст Знак"/>
    <w:basedOn w:val="a1"/>
    <w:link w:val="af3"/>
    <w:uiPriority w:val="1"/>
    <w:semiHidden/>
    <w:rsid w:val="001B6C3B"/>
    <w:rPr>
      <w:rFonts w:ascii="Times New Roman" w:eastAsia="Times New Roman" w:hAnsi="Times New Roman" w:cs="Times New Roman"/>
      <w:sz w:val="24"/>
      <w:szCs w:val="24"/>
      <w:lang w:eastAsia="ru-RU" w:bidi="ru-RU"/>
    </w:rPr>
  </w:style>
  <w:style w:type="paragraph" w:styleId="af5">
    <w:name w:val="header"/>
    <w:basedOn w:val="a0"/>
    <w:link w:val="af6"/>
    <w:uiPriority w:val="99"/>
    <w:unhideWhenUsed/>
    <w:rsid w:val="00430C1C"/>
    <w:pPr>
      <w:tabs>
        <w:tab w:val="center" w:pos="4513"/>
        <w:tab w:val="right" w:pos="9026"/>
      </w:tabs>
      <w:spacing w:after="0" w:line="240" w:lineRule="auto"/>
    </w:pPr>
  </w:style>
  <w:style w:type="character" w:customStyle="1" w:styleId="af6">
    <w:name w:val="Верхний колонтитул Знак"/>
    <w:basedOn w:val="a1"/>
    <w:link w:val="af5"/>
    <w:uiPriority w:val="99"/>
    <w:rsid w:val="00430C1C"/>
  </w:style>
  <w:style w:type="paragraph" w:styleId="af7">
    <w:name w:val="footer"/>
    <w:basedOn w:val="a0"/>
    <w:link w:val="af8"/>
    <w:uiPriority w:val="99"/>
    <w:unhideWhenUsed/>
    <w:rsid w:val="00430C1C"/>
    <w:pPr>
      <w:tabs>
        <w:tab w:val="center" w:pos="4513"/>
        <w:tab w:val="right" w:pos="9026"/>
      </w:tabs>
      <w:spacing w:after="0" w:line="240" w:lineRule="auto"/>
    </w:pPr>
  </w:style>
  <w:style w:type="character" w:customStyle="1" w:styleId="af8">
    <w:name w:val="Нижний колонтитул Знак"/>
    <w:basedOn w:val="a1"/>
    <w:link w:val="af7"/>
    <w:uiPriority w:val="99"/>
    <w:rsid w:val="00430C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24198297">
      <w:bodyDiv w:val="1"/>
      <w:marLeft w:val="0"/>
      <w:marRight w:val="0"/>
      <w:marTop w:val="0"/>
      <w:marBottom w:val="0"/>
      <w:divBdr>
        <w:top w:val="none" w:sz="0" w:space="0" w:color="auto"/>
        <w:left w:val="none" w:sz="0" w:space="0" w:color="auto"/>
        <w:bottom w:val="none" w:sz="0" w:space="0" w:color="auto"/>
        <w:right w:val="none" w:sz="0" w:space="0" w:color="auto"/>
      </w:divBdr>
    </w:div>
    <w:div w:id="1397120582">
      <w:bodyDiv w:val="1"/>
      <w:marLeft w:val="0"/>
      <w:marRight w:val="0"/>
      <w:marTop w:val="0"/>
      <w:marBottom w:val="0"/>
      <w:divBdr>
        <w:top w:val="none" w:sz="0" w:space="0" w:color="auto"/>
        <w:left w:val="none" w:sz="0" w:space="0" w:color="auto"/>
        <w:bottom w:val="none" w:sz="0" w:space="0" w:color="auto"/>
        <w:right w:val="none" w:sz="0" w:space="0" w:color="auto"/>
      </w:divBdr>
    </w:div>
    <w:div w:id="1430546284">
      <w:bodyDiv w:val="1"/>
      <w:marLeft w:val="0"/>
      <w:marRight w:val="0"/>
      <w:marTop w:val="0"/>
      <w:marBottom w:val="0"/>
      <w:divBdr>
        <w:top w:val="none" w:sz="0" w:space="0" w:color="auto"/>
        <w:left w:val="none" w:sz="0" w:space="0" w:color="auto"/>
        <w:bottom w:val="none" w:sz="0" w:space="0" w:color="auto"/>
        <w:right w:val="none" w:sz="0" w:space="0" w:color="auto"/>
      </w:divBdr>
    </w:div>
    <w:div w:id="1528979216">
      <w:bodyDiv w:val="1"/>
      <w:marLeft w:val="0"/>
      <w:marRight w:val="0"/>
      <w:marTop w:val="0"/>
      <w:marBottom w:val="0"/>
      <w:divBdr>
        <w:top w:val="none" w:sz="0" w:space="0" w:color="auto"/>
        <w:left w:val="none" w:sz="0" w:space="0" w:color="auto"/>
        <w:bottom w:val="none" w:sz="0" w:space="0" w:color="auto"/>
        <w:right w:val="none" w:sz="0" w:space="0" w:color="auto"/>
      </w:divBdr>
    </w:div>
    <w:div w:id="1665432050">
      <w:bodyDiv w:val="1"/>
      <w:marLeft w:val="0"/>
      <w:marRight w:val="0"/>
      <w:marTop w:val="0"/>
      <w:marBottom w:val="0"/>
      <w:divBdr>
        <w:top w:val="none" w:sz="0" w:space="0" w:color="auto"/>
        <w:left w:val="none" w:sz="0" w:space="0" w:color="auto"/>
        <w:bottom w:val="none" w:sz="0" w:space="0" w:color="auto"/>
        <w:right w:val="none" w:sz="0" w:space="0" w:color="auto"/>
      </w:divBdr>
    </w:div>
    <w:div w:id="1792626502">
      <w:bodyDiv w:val="1"/>
      <w:marLeft w:val="0"/>
      <w:marRight w:val="0"/>
      <w:marTop w:val="0"/>
      <w:marBottom w:val="0"/>
      <w:divBdr>
        <w:top w:val="none" w:sz="0" w:space="0" w:color="auto"/>
        <w:left w:val="none" w:sz="0" w:space="0" w:color="auto"/>
        <w:bottom w:val="none" w:sz="0" w:space="0" w:color="auto"/>
        <w:right w:val="none" w:sz="0" w:space="0" w:color="auto"/>
      </w:divBdr>
    </w:div>
    <w:div w:id="1857384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consultant.ru/document/cons_doc_LAW_181602/" TargetMode="External"/><Relationship Id="rId18" Type="http://schemas.openxmlformats.org/officeDocument/2006/relationships/hyperlink" Target="http://lawlibrary.ru/" TargetMode="External"/><Relationship Id="rId26" Type="http://schemas.openxmlformats.org/officeDocument/2006/relationships/hyperlink" Target="https://cyberleninka.ru/journal/n/rossiyskoe-pravo-obrazovanie-praktika-nauka" TargetMode="External"/><Relationship Id="rId39" Type="http://schemas.openxmlformats.org/officeDocument/2006/relationships/hyperlink" Target="http://nostroy.ru/articles/detail.php?ELEMENT_ID=2894" TargetMode="External"/><Relationship Id="rId21" Type="http://schemas.openxmlformats.org/officeDocument/2006/relationships/hyperlink" Target="https://www.elibrary.ru/item.asp?id=41387304" TargetMode="External"/><Relationship Id="rId34" Type="http://schemas.openxmlformats.org/officeDocument/2006/relationships/hyperlink" Target="mailto:Fantom36305@rambler.ru" TargetMode="External"/><Relationship Id="rId42" Type="http://schemas.openxmlformats.org/officeDocument/2006/relationships/hyperlink" Target="consultantplus://offline/ref=A8B789A8078255060213740E03950AABE79C1415FE15B5C8951ECFB1DD7C02C0D96CB028A8A669d1SDT" TargetMode="External"/><Relationship Id="rId47" Type="http://schemas.openxmlformats.org/officeDocument/2006/relationships/hyperlink" Target="mailto:Tishchenkov_00@mail.ru" TargetMode="External"/><Relationship Id="rId50" Type="http://schemas.openxmlformats.org/officeDocument/2006/relationships/hyperlink" Target="https://elibrary.ru/contents.asp?id=34075917&amp;selid=23591411" TargetMode="External"/><Relationship Id="rId55" Type="http://schemas.openxmlformats.org/officeDocument/2006/relationships/hyperlink" Target="consultantplus://offline/ref=33FA4701B19C1384A6A18292D7F7ADA91F3658A82923FC60AE0617FD6061B144C8CDA769FD87D97CB0D1DCE892AE88C95A6E0F82D7C918B7O8L"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mailto:e-mail:%20qceboy@yandex.ru" TargetMode="External"/><Relationship Id="rId29" Type="http://schemas.openxmlformats.org/officeDocument/2006/relationships/hyperlink" Target="mailto:Mark97ru@mail.ru" TargetMode="External"/><Relationship Id="rId11" Type="http://schemas.openxmlformats.org/officeDocument/2006/relationships/footer" Target="footer2.xml"/><Relationship Id="rId24" Type="http://schemas.openxmlformats.org/officeDocument/2006/relationships/hyperlink" Target="mailto:alexandr.ilkun@yandex.ru" TargetMode="External"/><Relationship Id="rId32" Type="http://schemas.openxmlformats.org/officeDocument/2006/relationships/hyperlink" Target="http://www.consultant.ru/document/cons_doc_LAW_136218/3ff9767002797e1059076bfe4614bd04b35f04f7/" TargetMode="External"/><Relationship Id="rId37" Type="http://schemas.openxmlformats.org/officeDocument/2006/relationships/hyperlink" Target="mailto:alxsmsnv@gmail.com" TargetMode="External"/><Relationship Id="rId40" Type="http://schemas.openxmlformats.org/officeDocument/2006/relationships/hyperlink" Target="mailto:slyusarev_av@bk.ru" TargetMode="External"/><Relationship Id="rId45" Type="http://schemas.openxmlformats.org/officeDocument/2006/relationships/hyperlink" Target="consultantplus://offline/ref=B919F9EC82E704247F2FF47FCBE40AD8DAE8EC773A820D1D3FD380vFX1H" TargetMode="External"/><Relationship Id="rId53" Type="http://schemas.openxmlformats.org/officeDocument/2006/relationships/hyperlink" Target="consultantplus://offline/ref=1FC98CC7A00B80DBE63C5F53B6CDF002B8BC5AE57217BA037910F12A331B70054B5BFE965370309740F4BB7020y9HEL" TargetMode="External"/><Relationship Id="rId58" Type="http://schemas.openxmlformats.org/officeDocument/2006/relationships/hyperlink" Target="mailto:230405@mail.ru" TargetMode="External"/><Relationship Id="rId5" Type="http://schemas.openxmlformats.org/officeDocument/2006/relationships/webSettings" Target="webSettings.xml"/><Relationship Id="rId61" Type="http://schemas.openxmlformats.org/officeDocument/2006/relationships/theme" Target="theme/theme1.xml"/><Relationship Id="rId19" Type="http://schemas.openxmlformats.org/officeDocument/2006/relationships/hyperlink" Target="mailto:m.bulava@mail.ru" TargetMode="External"/><Relationship Id="rId14" Type="http://schemas.openxmlformats.org/officeDocument/2006/relationships/hyperlink" Target="mailto:darina-t9@mail.ru" TargetMode="External"/><Relationship Id="rId22" Type="http://schemas.openxmlformats.org/officeDocument/2006/relationships/hyperlink" Target="mailto:arpenik97@icloud.com" TargetMode="External"/><Relationship Id="rId27" Type="http://schemas.openxmlformats.org/officeDocument/2006/relationships/hyperlink" Target="https://cyberleninka.ru/journal/n/vestnik-tomskogo-gosudarstvennogo-universiteta-pravo" TargetMode="External"/><Relationship Id="rId30" Type="http://schemas.openxmlformats.org/officeDocument/2006/relationships/hyperlink" Target="https://en.wikipedia.org/wiki/Basra" TargetMode="External"/><Relationship Id="rId35" Type="http://schemas.openxmlformats.org/officeDocument/2006/relationships/hyperlink" Target="mailto:Pikalov888@mail.com" TargetMode="External"/><Relationship Id="rId43" Type="http://schemas.openxmlformats.org/officeDocument/2006/relationships/hyperlink" Target="consultantplus://offline/ref=B919F9EC82E704247F2FE47BD9E40AD8DDECE47032DF071566DF82F610A9EAB0252E382CCDACE6v6X1H" TargetMode="External"/><Relationship Id="rId48" Type="http://schemas.openxmlformats.org/officeDocument/2006/relationships/hyperlink" Target="mailto:nik2557542@gmail.com" TargetMode="External"/><Relationship Id="rId56" Type="http://schemas.openxmlformats.org/officeDocument/2006/relationships/hyperlink" Target="consultantplus://offline/ref=33FA4701B19C1384A6A18292D7F7ADA91F3658A82923FC60AE0617FD6061B144C8CDA769FD87D97DB0D1DCE892AE88C95A6E0F82D7C918B7O8L" TargetMode="External"/><Relationship Id="rId8" Type="http://schemas.openxmlformats.org/officeDocument/2006/relationships/image" Target="media/image1.jpeg"/><Relationship Id="rId51" Type="http://schemas.openxmlformats.org/officeDocument/2006/relationships/hyperlink" Target="consultantplus://offline/ref=F95E61D91152C95B74CB7100E11E03DC035B22DDB09E575DA498B3E832C1B60178A0F8CAEEE3D8E44C539567A0l6A0L" TargetMode="External"/><Relationship Id="rId3" Type="http://schemas.openxmlformats.org/officeDocument/2006/relationships/styles" Target="styles.xml"/><Relationship Id="rId12" Type="http://schemas.openxmlformats.org/officeDocument/2006/relationships/hyperlink" Target="http://www.consultant.ru/document/cons_doc_LAW_340325/c18778732f1e820875bb79a8f634f706940f0142/" TargetMode="External"/><Relationship Id="rId17" Type="http://schemas.openxmlformats.org/officeDocument/2006/relationships/hyperlink" Target="http://lawlibrary.ru/" TargetMode="External"/><Relationship Id="rId25" Type="http://schemas.openxmlformats.org/officeDocument/2006/relationships/hyperlink" Target="mailto:a_kasparyan@inbox.ru" TargetMode="External"/><Relationship Id="rId33" Type="http://schemas.openxmlformats.org/officeDocument/2006/relationships/hyperlink" Target="mailto:vikulya.ostroukhova@mail.ru" TargetMode="External"/><Relationship Id="rId38" Type="http://schemas.openxmlformats.org/officeDocument/2006/relationships/hyperlink" Target="mailto:Leibinen@mail.ru" TargetMode="External"/><Relationship Id="rId46" Type="http://schemas.openxmlformats.org/officeDocument/2006/relationships/hyperlink" Target="mailto:stepanyanjk@gmail.com" TargetMode="External"/><Relationship Id="rId59" Type="http://schemas.openxmlformats.org/officeDocument/2006/relationships/hyperlink" Target="mailto:pol499@yandex.ru" TargetMode="External"/><Relationship Id="rId20" Type="http://schemas.openxmlformats.org/officeDocument/2006/relationships/hyperlink" Target="mailto:lasia.17@mail.ru" TargetMode="External"/><Relationship Id="rId41" Type="http://schemas.openxmlformats.org/officeDocument/2006/relationships/hyperlink" Target="consultantplus://offline/ref=B919F9EC82E704247F2FE47BD9E40AD8DDEDE17434DF071566DF82F610A9EAB0252E382CCDABE3v6X5H" TargetMode="External"/><Relationship Id="rId54" Type="http://schemas.openxmlformats.org/officeDocument/2006/relationships/hyperlink" Target="consultantplus://offline/ref=33FA4701B19C1384A6A18292D7F7ADA91E3658A9272AFC60AE0617FD6061B144C8CDA769FD82DF70BF8ED9FD83F684CD41700A99CBCB1A7ABEO9L"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mailto:mashasofiephoto1998@icloud.com" TargetMode="External"/><Relationship Id="rId23" Type="http://schemas.openxmlformats.org/officeDocument/2006/relationships/hyperlink" Target="mailto:tim1996@mail.ru" TargetMode="External"/><Relationship Id="rId28" Type="http://schemas.openxmlformats.org/officeDocument/2006/relationships/hyperlink" Target="mailto:anait.mir@mail.ru" TargetMode="External"/><Relationship Id="rId36" Type="http://schemas.openxmlformats.org/officeDocument/2006/relationships/hyperlink" Target="mailto:ms.fencing@mail.ru" TargetMode="External"/><Relationship Id="rId49" Type="http://schemas.openxmlformats.org/officeDocument/2006/relationships/hyperlink" Target="https://e.mail.ru/compose?To=dchepak@list.ru" TargetMode="External"/><Relationship Id="rId57" Type="http://schemas.openxmlformats.org/officeDocument/2006/relationships/hyperlink" Target="consultantplus://offline/ref=F50FAE5241794B5B6A3148DB341835602E68B39465172587A08F07AA3E1537E8EAD95AD5D3F3FD1BABj6K" TargetMode="External"/><Relationship Id="rId10" Type="http://schemas.openxmlformats.org/officeDocument/2006/relationships/hyperlink" Target="mailto:a_parfena@mail.ru" TargetMode="External"/><Relationship Id="rId31" Type="http://schemas.openxmlformats.org/officeDocument/2006/relationships/hyperlink" Target="mailto:Mark97ru@mail.ru" TargetMode="External"/><Relationship Id="rId44" Type="http://schemas.openxmlformats.org/officeDocument/2006/relationships/hyperlink" Target="consultantplus://offline/ref=B919F9EC82E704247F2FE47CD2E40AD8DBEDED7432DF071566DF82F610A9EAB0252E382CCFAFE7v6X7H" TargetMode="External"/><Relationship Id="rId52" Type="http://schemas.openxmlformats.org/officeDocument/2006/relationships/hyperlink" Target="consultantplus://offline/ref=15E88F62F02171167B06FF6B3B7963F5233523FCFDA5EBBD48B7DB397B23DF2CC61311F2BFD874672AB5060B3C51E7049E3B476F6E68E986i4G5L" TargetMode="External"/><Relationship Id="rId6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8" Type="http://schemas.openxmlformats.org/officeDocument/2006/relationships/hyperlink" Target="consultantplus://offline/ref=B919F9EC82E704247F2FE47BD9E40AD8DDECE47032DF071566DF82F610A9EAB0252E382CCDACE6v6X1H" TargetMode="External"/><Relationship Id="rId13" Type="http://schemas.openxmlformats.org/officeDocument/2006/relationships/hyperlink" Target="consultantplus://offline/ref=FBA774A71BD26DDF09E1EB98D356D5FBCDC21AC6D6667B98C69527536C8040145B4C3DFD1ABDA7C6070B7AC3ED51yEM" TargetMode="External"/><Relationship Id="rId18" Type="http://schemas.openxmlformats.org/officeDocument/2006/relationships/hyperlink" Target="consultantplus://offline/ref=FBA774A71BD26DDF09E1EB98D546D5FBCDC513C5D66573C5CC9D7E5F6E874F4B5E592CA515B8BED8041666C1EF1C59y4M" TargetMode="External"/><Relationship Id="rId3" Type="http://schemas.openxmlformats.org/officeDocument/2006/relationships/hyperlink" Target="http://base.garant.ru/70183406/65cb2685ffa6c23799a2fa7de72c7151/" TargetMode="External"/><Relationship Id="rId21" Type="http://schemas.openxmlformats.org/officeDocument/2006/relationships/hyperlink" Target="https://trudvsem.ru" TargetMode="External"/><Relationship Id="rId7" Type="http://schemas.openxmlformats.org/officeDocument/2006/relationships/hyperlink" Target="consultantplus://offline/ref=B919F9EC82E704247F2FF47FCBE40AD8DAE8EC773A820D1D3FD380vFX1H" TargetMode="External"/><Relationship Id="rId12" Type="http://schemas.openxmlformats.org/officeDocument/2006/relationships/hyperlink" Target="http://base.garant.ru/10106592/" TargetMode="External"/><Relationship Id="rId17" Type="http://schemas.openxmlformats.org/officeDocument/2006/relationships/hyperlink" Target="consultantplus://offline/ref=FBA774A71BD26DDF09E1EB98D553D5FBCDCF1BCFD1627B98C69527536C8040145B4C3DFD1ABDA7C6070B7AC3ED51yEM" TargetMode="External"/><Relationship Id="rId2" Type="http://schemas.openxmlformats.org/officeDocument/2006/relationships/hyperlink" Target="https://www.elibrary.ru/item.asp?id=41387304" TargetMode="External"/><Relationship Id="rId16" Type="http://schemas.openxmlformats.org/officeDocument/2006/relationships/hyperlink" Target="consultantplus://offline/ref=FBA774A71BD26DDF09E1EB98D546D5FBCDC213C0D7617B98C69527536C8040145B4C3DFD1ABDA7C6070B7AC3ED51yEM" TargetMode="External"/><Relationship Id="rId20" Type="http://schemas.openxmlformats.org/officeDocument/2006/relationships/hyperlink" Target="http://www.consultant.ru/" TargetMode="External"/><Relationship Id="rId1" Type="http://schemas.openxmlformats.org/officeDocument/2006/relationships/hyperlink" Target="http://grazhkod.ru/chast-pervaya/razdel-1/podrazdel-3/glava-8/statya-151-gk-rf" TargetMode="External"/><Relationship Id="rId6" Type="http://schemas.openxmlformats.org/officeDocument/2006/relationships/hyperlink" Target="http://www.consultant.ru/cons/cgi/online.cgi?req=doc&amp;base=ARB&amp;n=527851" TargetMode="External"/><Relationship Id="rId11" Type="http://schemas.openxmlformats.org/officeDocument/2006/relationships/hyperlink" Target="consultantplus://offline/ref=B919F9EC82E704247F2FE47CD2E40AD8DBEDED7432DF071566DF82F610A9EAB0252E382CCFAFE7v6X7H" TargetMode="External"/><Relationship Id="rId5" Type="http://schemas.openxmlformats.org/officeDocument/2006/relationships/hyperlink" Target="http://www.consultant.ru/cons/cgi/online.cgi?req=doc&amp;base=ASK&amp;n=133135" TargetMode="External"/><Relationship Id="rId15" Type="http://schemas.openxmlformats.org/officeDocument/2006/relationships/hyperlink" Target="consultantplus://offline/ref=FBA774A71BD26DDF09E1EB98D553D5FBCDCE16C7D0647B98C69527536C8040145B4C3DFD1ABDA7C6070B7AC3ED51yEM" TargetMode="External"/><Relationship Id="rId10" Type="http://schemas.openxmlformats.org/officeDocument/2006/relationships/hyperlink" Target="consultantplus://offline/ref=A8B789A8078255060213740E03950AABE79C1415FE15B5C8951ECFB1DD7C02C0D96CB028A8A669d1SDT" TargetMode="External"/><Relationship Id="rId19" Type="http://schemas.openxmlformats.org/officeDocument/2006/relationships/hyperlink" Target="consultantplus://offline/ref=FBA774A71BD26DDF09E1EB98D042D5FBCDC516C4D56475C5CC9D7E5F6E874F4B5E592CA515B8BED8041666C1EF1C59y4M" TargetMode="External"/><Relationship Id="rId4" Type="http://schemas.openxmlformats.org/officeDocument/2006/relationships/hyperlink" Target="http://client.consultant.ru/site/list/?id=1005538776" TargetMode="External"/><Relationship Id="rId9" Type="http://schemas.openxmlformats.org/officeDocument/2006/relationships/hyperlink" Target="consultantplus://offline/ref=B919F9EC82E704247F2FE47BD9E40AD8DDEDE17434DF071566DF82F610A9EAB0252E382CCDABE3v6X5H" TargetMode="External"/><Relationship Id="rId14" Type="http://schemas.openxmlformats.org/officeDocument/2006/relationships/hyperlink" Target="consultantplus://offline/ref=FBA774A71BD26DDF09E1F985C22F80A8C5C513C4D4607B98C69527536C8040145B4C3DFD1ABDA7C6070B7AC3ED51yEM" TargetMode="External"/><Relationship Id="rId22" Type="http://schemas.openxmlformats.org/officeDocument/2006/relationships/hyperlink" Target="URL:https://www.rostrud.ru/opendata/7712345678-chaz/table.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9D9681-C387-C644-B625-2F29A497F2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92</TotalTime>
  <Pages>253</Pages>
  <Words>108495</Words>
  <Characters>618427</Characters>
  <Application>Microsoft Office Word</Application>
  <DocSecurity>0</DocSecurity>
  <Lines>5153</Lines>
  <Paragraphs>1450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725472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Tkachev</dc:creator>
  <cp:keywords/>
  <dc:description/>
  <cp:lastModifiedBy>Microsoft Office User</cp:lastModifiedBy>
  <cp:revision>10</cp:revision>
  <dcterms:created xsi:type="dcterms:W3CDTF">2020-07-06T10:47:00Z</dcterms:created>
  <dcterms:modified xsi:type="dcterms:W3CDTF">2020-10-11T17:55:00Z</dcterms:modified>
</cp:coreProperties>
</file>